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26/5594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02.03.2026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10.03.2026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Planlagt bruk av småprosjektmidler investering BDK for året 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Spørsmål fra Søvde (V) i sak 07/26 angående restaurant i Ibsenhuset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Vedtak i klagesak - støttemur - Gbnr 217/713 - Solumgata 38-E-F-G-H - bruksendring loft og endringer ute mot øst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Klage trukket - gbnr 1/836 - Sliperivegen 8 - søknad om dispensasjon - ny Rema 1000-butikk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Klage trukket - byggesak - Skien - 217/713 Solumgata 38 - solcelleanlegg - fristforlengelse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