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26/5978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Anne Lene Andersen Watn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05.03.2026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18/26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24.03.2026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Reduksjon av lokalt styringstrykk </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Formannskapet tar saken om styringstrykk til orientering og gir sin tilslutning til kommunedirektørens vurdering og anbefaling slik den framkommer av saksfremlegget.</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spacing w:after="160"/>
              </w:pPr>
              <w:r>
                <w:t xml:space="preserve">I formannskapsmøte 30.09.2025 (sak 42/25) ble følgende vedtatt:</w:t>
              </w:r>
            </w:p>
            <w:p>
              <w:pPr>
                <w:spacing w:after="160"/>
              </w:pPr>
              <w:r>
                <w:rPr>
                  <w:i/>
                </w:rPr>
                <w:t xml:space="preserve">"Formannskapet ber administrasjonen om å komme tilbake med konkrete forslag til tiltak for å redusere styringstrykket, herunder:</w:t>
              </w:r>
            </w:p>
            <w:p>
              <w:pPr>
                <w:pStyle w:val="ListParagraph"/>
                <w:numPr>
                  <w:ilvl w:val="0"/>
                  <w:numId w:val="1"/>
                </w:numPr>
                <w:spacing w:after="160"/>
              </w:pPr>
              <w:r>
                <w:rPr>
                  <w:i/>
                </w:rPr>
                <w:t xml:space="preserve">Gjennomgang og forslag til endringer i rapporteringsrutiner</w:t>
              </w:r>
            </w:p>
            <w:p>
              <w:pPr>
                <w:pStyle w:val="ListParagraph"/>
                <w:numPr>
                  <w:ilvl w:val="0"/>
                  <w:numId w:val="1"/>
                </w:numPr>
                <w:spacing w:after="160"/>
              </w:pPr>
              <w:r>
                <w:rPr>
                  <w:i/>
                </w:rPr>
                <w:t xml:space="preserve">Forslag til forenklinger av internt regelverk og rutiner</w:t>
              </w:r>
            </w:p>
            <w:p>
              <w:pPr>
                <w:pStyle w:val="ListParagraph"/>
                <w:numPr>
                  <w:ilvl w:val="0"/>
                  <w:numId w:val="1"/>
                </w:numPr>
                <w:spacing w:after="160"/>
              </w:pPr>
              <w:r>
                <w:rPr>
                  <w:i/>
                </w:rPr>
                <w:t xml:space="preserve">Forslag til andre tiltak for økt administrativ effektivitet og mindre rapporteringsbyrden</w:t>
              </w:r>
            </w:p>
            <w:p>
              <w:pPr>
                <w:spacing w:after="160"/>
              </w:pPr>
              <w:r>
                <w:rPr>
                  <w:i/>
                </w:rPr>
                <w:t xml:space="preserve">Formannskapet anmoder hovedutvalgene om å begrense bestillinger til administrasjonen.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p>
            <w:p>
              <w:pPr>
                <w:spacing w:after="160"/>
              </w:pPr>
              <w:r>
                <w:t xml:space="preserve">Lokalpolitiske bestillinger fra bystyret, formannskapet og de ulike utvalgene krever i sum betydelig administrative ressurser i kommunen. Kommunedirektøren tolker formannskapets vedtak som en bestilling for å konkretisere tiltak for å redusere dette administrative styringstrykket.</w:t>
              </w:r>
            </w:p>
            <w:p>
              <w:pPr>
                <w:spacing w:after="160"/>
              </w:pPr>
              <w:r>
                <w:t xml:space="preserve">Temaet styringstrykk i kommunesektoren er også satt på dagsorden nasjonalt, hvor Kommunekommisjonen i januar 2026 la frem sin rapport (NOU2026:1) som bl.a. sier at </w:t>
              </w:r>
              <w:r>
                <w:rPr>
                  <w:i/>
                </w:rPr>
                <w:t xml:space="preserve">“Det er derfor nødvendig med en betydelig reduksjon i den statlige styringen, slik at kommunesektoren får større handlingsrom til å gjennomføre nødvendige omstillinger”.</w:t>
              </w:r>
            </w:p>
            <w:p>
              <w:pPr>
                <w:spacing w:after="160"/>
              </w:pPr>
              <w:r>
                <w:t xml:space="preserve"> </w:t>
              </w:r>
            </w:p>
            <w:p>
              <w:pPr>
                <w:spacing w:after="160"/>
              </w:pPr>
              <w:r>
                <w:t xml:space="preserve">Kommunens totale styringstrykk består av flere lag som samlet legger press på administrasjonen:</w:t>
              </w:r>
            </w:p>
            <w:p>
              <w:pPr>
                <w:pStyle w:val="ListParagraph"/>
                <w:numPr>
                  <w:ilvl w:val="0"/>
                  <w:numId w:val="2"/>
                </w:numPr>
                <w:spacing w:after="160"/>
              </w:pPr>
              <w:r>
                <w:t xml:space="preserve">Statlig styring: Inkluderer lovpålagte rapporteringer, nasjonale normer og individuelle rettigheter, tilsyn, krav om dokumentasjon og likebehandling og øremerkede tilskudd som medfører omfattende administrativt arbeid. En viktig presisering når det gjelder det statlige styringstrykket, er at staten ikke er én aktør — ulike direktorater, tilsyn, departement og etatsnivå stiller krav som hver for seg er håndterbare, men som samlet blir omfattende</w:t>
              </w:r>
            </w:p>
            <w:p>
              <w:pPr>
                <w:pStyle w:val="ListParagraph"/>
                <w:numPr>
                  <w:ilvl w:val="0"/>
                  <w:numId w:val="2"/>
                </w:numPr>
                <w:spacing w:after="160"/>
              </w:pPr>
              <w:r>
                <w:t xml:space="preserve">Lokalpolitiske bestillinger: Utredninger, analyser, rapporteringer utover det lovpålagte, interpellasjoner, ad hoc – saker, planer, høringer og strategier.</w:t>
              </w:r>
            </w:p>
            <w:p>
              <w:pPr>
                <w:spacing w:after="160"/>
              </w:pPr>
              <w:r>
                <w:t xml:space="preserve"> </w:t>
              </w:r>
            </w:p>
            <w:p>
              <w:pPr>
                <w:spacing w:after="160"/>
              </w:pPr>
              <w:r>
                <w:t xml:space="preserve">Flere av disse bestillingene treffer samme fagmiljø gjentatte ganger, ofte med korte frister og medfører samlet et stort styringstrykk som beslaglegger mye tid og ressurser hos aktuelle fagmiljøer og -personer. Kommunekommisjonen (NOU 2026:1) peker på at detaljstyringen fra staten begrenser kommunenes handlingsrom. Samtidig viser erfaringer i Skien at lokale bestillinger også skaper omfattende administrativt arbeid, og at disse to styringslinjene må forstås i sammenheng.</w:t>
              </w:r>
            </w:p>
            <w:p>
              <w:pPr>
                <w:spacing w:after="160"/>
              </w:pPr>
              <w:r>
                <w:t xml:space="preserve">Det statlige styringstrykket gir mindre fleksibilitet i hvordan kommunen løser sine oppgaver, mens det lokale styringstrykket i større grad handler om rapporteringsmengde, detaljeringsnivå og analysekrav fra politiske organer.</w:t>
              </w:r>
            </w:p>
            <w:p>
              <w:pPr>
                <w:spacing w:after="160"/>
              </w:pPr>
              <w:r>
                <w:t xml:space="preserve">Kommunen står i betydelige omstillinger, bl.a. innen tjenesteutvikling, digitalisering og kapasitet. Dette trekker store interne ressurser og påvirker evnen til å levere raskt på nye politiske oppdrag.</w:t>
              </w:r>
            </w:p>
            <w:p>
              <w:pPr>
                <w:spacing w:after="160"/>
              </w:pPr>
              <w:r>
                <w:t xml:space="preserve">Kommunedirektørens forslag til tiltak for å redusere det lokale styringstrykket forsøker å balansere administrativ ressursbruk opp mot politikkens behov for informasjon for å kunne prioritere og fatte vedtak.</w:t>
              </w:r>
            </w:p>
            <w:p>
              <w:pPr>
                <w:spacing w:after="160"/>
              </w:pPr>
              <w:r>
                <w:t xml:space="preserve">Den videre saken er strukturert i tråd med vedtaket.</w:t>
              </w:r>
            </w:p>
            <w:p>
              <w:pPr>
                <w:spacing w:after="160"/>
              </w:pPr>
              <w:r>
                <w:rPr>
                  <w:b/>
                </w:rPr>
                <w:t xml:space="preserve"> </w:t>
              </w:r>
            </w:p>
            <w:p>
              <w:pPr>
                <w:spacing w:after="160"/>
              </w:pPr>
              <w:r>
                <w:rPr>
                  <w:b/>
                </w:rPr>
                <w:t xml:space="preserve">Gjennomgang og forslag til endringer i rapporteringsrutiner</w:t>
              </w:r>
            </w:p>
            <w:p>
              <w:pPr>
                <w:spacing w:after="160"/>
              </w:pPr>
              <w:r>
                <w:t xml:space="preserve">Skien kommune bruker i dag betydelige ressurser på rapportering til politiske organer. I tillegg til lovpålagte rapporter, slik som f.eks. økonomiplan, årsmelding, årsregnskap og tilstandsrapport barnevernet, legger administrasjonen også frem jevnlige rapporter om økonomi, sykefravær, heltidskultur, sosialhjelp, introprogram, tilstandsrapport barnehage og skole, m.m. En del av disse sakene inneholder også analyser, som krever mer tid og administrative ressurser enn ren tallrapportering.</w:t>
              </w:r>
            </w:p>
            <w:p>
              <w:pPr>
                <w:spacing w:after="160"/>
              </w:pPr>
              <w:r>
                <w:t xml:space="preserve">For å sikre en mer målrettet og effektiv bruk av administrative ressurser, er det nødvendig å vurdere om dagens omfang av rapportering står i forhold til den verdien rapportene faktisk gir. Mange av rapporteringene som legges frem i dag går utover lovpålagte krav og innebærer omfattende analyser som i varierende grad bidrar til bedre politisk styring. På denne bakgrunn foreslår kommunedirektøren følgende justeringer i rapporteringspraksis:</w:t>
              </w:r>
            </w:p>
            <w:p>
              <w:pPr>
                <w:spacing w:after="160"/>
              </w:pPr>
              <w:r>
                <w:t xml:space="preserve">Rapportering bør begrenses til:</w:t>
              </w:r>
            </w:p>
            <w:p>
              <w:pPr>
                <w:pStyle w:val="ListParagraph"/>
                <w:numPr>
                  <w:ilvl w:val="0"/>
                  <w:numId w:val="3"/>
                </w:numPr>
                <w:spacing w:after="160"/>
              </w:pPr>
              <w:r>
                <w:t xml:space="preserve">Lovpålagte rapporter og rapporter som er nødvendig for politisk styring og rapportering</w:t>
              </w:r>
            </w:p>
            <w:p>
              <w:pPr>
                <w:pStyle w:val="ListParagraph"/>
                <w:numPr>
                  <w:ilvl w:val="0"/>
                  <w:numId w:val="3"/>
                </w:numPr>
                <w:spacing w:after="160"/>
              </w:pPr>
              <w:r>
                <w:t xml:space="preserve">Kommunedirektøren ser det også som viktig å videreutvikle bruken av allerede implementerte systemer for mer sanntidsrapportering av tall (uten analyser), eksempelvis Framsikt: Sanntidsrapportering innebærer at oppdaterte tall på sentrale områder vil være tilgjengelig til enhver tid, vise situasjonen slik den er nå og vil endre seg dynamisk etter som nye data kommer inn</w:t>
              </w:r>
            </w:p>
            <w:p>
              <w:pPr>
                <w:spacing w:after="160"/>
              </w:pPr>
              <w:r>
                <w:t xml:space="preserve"> </w:t>
              </w:r>
            </w:p>
            <w:p>
              <w:pPr>
                <w:spacing w:after="160"/>
              </w:pPr>
              <w:r>
                <w:t xml:space="preserve">Videre foreslår kommunedirektøren at ved bestilling av rapporteringer ut over det lovbestemte, skal følgende elementer vurderes:</w:t>
              </w:r>
            </w:p>
            <w:p>
              <w:pPr>
                <w:pStyle w:val="ListParagraph"/>
                <w:numPr>
                  <w:ilvl w:val="0"/>
                  <w:numId w:val="4"/>
                </w:numPr>
                <w:spacing w:after="160"/>
              </w:pPr>
              <w:r>
                <w:t xml:space="preserve">Hvorfor er det behov for denne informasjonen?</w:t>
              </w:r>
            </w:p>
            <w:p>
              <w:pPr>
                <w:pStyle w:val="ListParagraph"/>
                <w:numPr>
                  <w:ilvl w:val="0"/>
                  <w:numId w:val="4"/>
                </w:numPr>
                <w:spacing w:after="160"/>
              </w:pPr>
              <w:r>
                <w:t xml:space="preserve">Hvor hyppig er det behov for og hensiktsmessig å rapportere?</w:t>
              </w:r>
            </w:p>
            <w:p>
              <w:pPr>
                <w:pStyle w:val="ListParagraph"/>
                <w:numPr>
                  <w:ilvl w:val="0"/>
                  <w:numId w:val="4"/>
                </w:numPr>
                <w:spacing w:after="160"/>
              </w:pPr>
              <w:r>
                <w:t xml:space="preserve">Er rapporteringen overlappende med annen rapportering?</w:t>
              </w:r>
            </w:p>
            <w:p>
              <w:pPr>
                <w:pStyle w:val="ListParagraph"/>
                <w:numPr>
                  <w:ilvl w:val="0"/>
                  <w:numId w:val="4"/>
                </w:numPr>
                <w:spacing w:after="160"/>
              </w:pPr>
              <w:r>
                <w:t xml:space="preserve">Vurdering av merverdi vs. ressursbruk</w:t>
              </w:r>
            </w:p>
            <w:p>
              <w:pPr>
                <w:pStyle w:val="ListParagraph"/>
                <w:numPr>
                  <w:ilvl w:val="0"/>
                  <w:numId w:val="4"/>
                </w:numPr>
                <w:spacing w:after="160"/>
              </w:pPr>
              <w:r>
                <w:t xml:space="preserve">Kan (deler av) rapporteringen erstattes av sanntidsinformasjon (eksempelvis i Framsikt)</w:t>
              </w:r>
            </w:p>
            <w:p>
              <w:pPr>
                <w:spacing w:after="160"/>
              </w:pPr>
              <w:r>
                <w:t xml:space="preserve"> </w:t>
              </w:r>
            </w:p>
            <w:p>
              <w:pPr>
                <w:spacing w:after="160"/>
              </w:pPr>
              <w:r>
                <w:rPr>
                  <w:u w:val="single"/>
                </w:rPr>
                <w:t xml:space="preserve">Konkrete forslag</w:t>
              </w:r>
            </w:p>
            <w:p>
              <w:pPr>
                <w:spacing w:after="160"/>
              </w:pPr>
              <w:r>
                <w:t xml:space="preserve">Kommunedirektøren foreslår følgende konkrete forslag når det gjelder endringer i rapporteringsrutiner:</w:t>
              </w:r>
            </w:p>
            <w:p>
              <w:pPr>
                <w:pStyle w:val="ListParagraph"/>
                <w:numPr>
                  <w:ilvl w:val="0"/>
                  <w:numId w:val="5"/>
                </w:numPr>
                <w:spacing w:after="160"/>
              </w:pPr>
              <w:r>
                <w:t xml:space="preserve">Tertialrapport 1 og 2 eksklusive finans avvikles og erstattes med én halvårsrapport. I tillegg tilkommer kommunens årsrapport. Dette reduserer overlapp mot handlingsprogrammet og sparer analysekapasitet. Rapporteringer på økonomi, sykefravær og større prosjekter fortsetter i nåværende form (presentasjoner) </w:t>
              </w:r>
            </w:p>
            <w:p>
              <w:pPr>
                <w:pStyle w:val="ListParagraph"/>
                <w:numPr>
                  <w:ilvl w:val="0"/>
                  <w:numId w:val="5"/>
                </w:numPr>
                <w:spacing w:after="160"/>
              </w:pPr>
              <w:r>
                <w:t xml:space="preserve">Virksomhetsplaner avvikles og rapportering på politiske bestillinger tilgjengeliggjøres fortløpende i Framsikt. Halvårsrapporten (jf. første punkt) rapporterer på bestillinger i HØP og løpende bestillinger lagt inn i Framsikt</w:t>
              </w:r>
            </w:p>
            <w:p>
              <w:pPr>
                <w:pStyle w:val="ListParagraph"/>
                <w:numPr>
                  <w:ilvl w:val="0"/>
                  <w:numId w:val="5"/>
                </w:numPr>
                <w:spacing w:after="160"/>
              </w:pPr>
              <w:r>
                <w:t xml:space="preserve">Sykefravær rapporteres kvartalsvis til PSU. Ut over dette brukes Framsikt el liknende for fortløpende oversikt over sykefraværet</w:t>
              </w:r>
            </w:p>
            <w:p>
              <w:pPr>
                <w:pStyle w:val="ListParagraph"/>
                <w:numPr>
                  <w:ilvl w:val="0"/>
                  <w:numId w:val="5"/>
                </w:numPr>
                <w:spacing w:after="160"/>
              </w:pPr>
              <w:r>
                <w:t xml:space="preserve">Hvert utvalg tar en gjennomgang av de løpende rapporteringene som gjøres i dag basert på punktene nevnt over (jf. punkter som skal vurderes ved bestilling av nye rapporteringer)</w:t>
              </w:r>
            </w:p>
            <w:p>
              <w:pPr>
                <w:spacing w:after="160"/>
              </w:pPr>
              <w:r>
                <w:t xml:space="preserve"> </w:t>
              </w:r>
            </w:p>
            <w:p>
              <w:pPr>
                <w:spacing w:after="160"/>
              </w:pPr>
              <w:r>
                <w:rPr>
                  <w:b/>
                </w:rPr>
                <w:t xml:space="preserve">Forslag til forenklinger av internt regelverk og rutiner</w:t>
              </w:r>
            </w:p>
            <w:p>
              <w:pPr>
                <w:spacing w:after="160"/>
              </w:pPr>
              <w:r>
                <w:t xml:space="preserve">Kommunens interne regelverk og rutiner omfatter alt fra kommuneovergripende personalreglementer til fagspesifikke rutiner innenfor konkrete områder og faglige prosedyrer ved den enkelte enhet. Mye av dette er utarbeidet med bakgrunn i føringer i lov- og avtaleverk og er en del av kommunedirektørens internkontroll, jfr Kommunelovens §25-1. Omfanget av slike dokumenter har de siste 20 år vært økende, noe som bl.a. kommenteres i Kommunekommisjonens rapport (NOU2026:1): </w:t>
              </w:r>
              <w:r>
                <w:rPr>
                  <w:i/>
                </w:rPr>
                <w:t xml:space="preserve">“DFØs vurdering er at det samlede statlige styringstrykket er stort og økende”.</w:t>
              </w:r>
              <w:r>
                <w:t xml:space="preserve"> </w:t>
              </w:r>
            </w:p>
            <w:p>
              <w:pPr>
                <w:spacing w:after="160"/>
              </w:pPr>
              <w:r>
                <w:t xml:space="preserve">Det er imidlertid viktig å påpeke at i tillegg til å sikre at kommunens drift er i tråd med lov- og avtaleverk, er interne regelverk og rutiner ofte også med på å skape klare føringer og trygghet i arbeidsutførelsen for den enkelte medarbeider, og dermed også god tjenestekvalitet til kommunens innbyggere.</w:t>
              </w:r>
            </w:p>
            <w:p>
              <w:pPr>
                <w:spacing w:after="160"/>
              </w:pPr>
              <w:r>
                <w:t xml:space="preserve">Samtidig er en del av disse dokumentene selvpålagte og overlapper med øvrig lov- og avtaleverk og det er viktig at kommunen gjennomgår og vurderer behovet fortløpende for den enkelte rutine / regelverk.</w:t>
              </w:r>
            </w:p>
            <w:p>
              <w:pPr>
                <w:spacing w:after="160"/>
              </w:pPr>
              <w:r>
                <w:t xml:space="preserve"> </w:t>
              </w:r>
            </w:p>
            <w:p>
              <w:pPr>
                <w:spacing w:after="160"/>
              </w:pPr>
              <w:r>
                <w:rPr>
                  <w:u w:val="single"/>
                </w:rPr>
                <w:t xml:space="preserve">Konkrete forslag:</w:t>
              </w:r>
            </w:p>
            <w:p>
              <w:pPr>
                <w:pStyle w:val="ListParagraph"/>
                <w:numPr>
                  <w:ilvl w:val="0"/>
                  <w:numId w:val="6"/>
                </w:numPr>
                <w:spacing w:after="160"/>
              </w:pPr>
              <w:r>
                <w:t xml:space="preserve">Administrasjonen jobber kontinuerlig med forenkling av rutiner og kritisk vurdering av styringsdokumenter med mål om forenkling</w:t>
              </w:r>
            </w:p>
            <w:p>
              <w:pPr>
                <w:pStyle w:val="ListParagraph"/>
                <w:numPr>
                  <w:ilvl w:val="0"/>
                  <w:numId w:val="6"/>
                </w:numPr>
                <w:spacing w:after="160"/>
              </w:pPr>
              <w:r>
                <w:t xml:space="preserve">Gjennomgang av kommunenes overordnede dokumenter som HØP, årsmelding, tertialrapporter og planverk for å vurdere og redusere gjentagelser og lange tekstmengder uten tydelig merverdi</w:t>
              </w:r>
            </w:p>
            <w:p>
              <w:pPr>
                <w:pStyle w:val="ListParagraph"/>
                <w:numPr>
                  <w:ilvl w:val="0"/>
                  <w:numId w:val="6"/>
                </w:numPr>
                <w:spacing w:after="160"/>
              </w:pPr>
              <w:r>
                <w:t xml:space="preserve">Vurdere om lokale forskrifter kan erstattes av administrative retningslinjer når dette er forsvarlig.</w:t>
              </w:r>
            </w:p>
            <w:p>
              <w:pPr>
                <w:pStyle w:val="ListParagraph"/>
                <w:numPr>
                  <w:ilvl w:val="0"/>
                  <w:numId w:val="6"/>
                </w:numPr>
                <w:spacing w:after="160"/>
              </w:pPr>
              <w:r>
                <w:t xml:space="preserve">Digitalisering og mer systematisk bruk av KI-løsninger i dokument- og rapportproduksjon, uten at dette går på bekostning av kvalitet, sikkerhet og personvern</w:t>
              </w:r>
            </w:p>
            <w:p>
              <w:pPr>
                <w:spacing w:after="160"/>
              </w:pPr>
              <w:r>
                <w:t xml:space="preserve"> </w:t>
              </w:r>
            </w:p>
            <w:p>
              <w:pPr>
                <w:spacing w:after="160"/>
              </w:pPr>
              <w:r>
                <w:rPr>
                  <w:b/>
                </w:rPr>
                <w:t xml:space="preserve">Forslag til andre tiltak for økt administrativ effektivitet og mindre rapporteringsbyrde</w:t>
              </w:r>
            </w:p>
            <w:p>
              <w:pPr>
                <w:spacing w:after="160"/>
              </w:pPr>
              <w:r>
                <w:t xml:space="preserve">Som nevnt innledningsvis krever nasjonale føringer, </w:t>
              </w:r>
              <w:r>
                <w:rPr>
                  <w:i/>
                </w:rPr>
                <w:t xml:space="preserve">“det statlige styringstrykket”</w:t>
              </w:r>
              <w:r>
                <w:t xml:space="preserve">, også administrative ressurser i tillegg til det lokale styringstrykket. Det vurderes derfor som positivt at Kommunekommisjonen jobber videre med dette temaet med målsetting om å redusere styringstrykket </w:t>
              </w:r>
              <w:r>
                <w:rPr>
                  <w:i/>
                </w:rPr>
                <w:t xml:space="preserve">“slik at kommunene får større handlingsrom til å gjennomføre nødvendige omstillinger”</w:t>
              </w:r>
              <w:r>
                <w:t xml:space="preserve">.</w:t>
              </w:r>
            </w:p>
            <w:p>
              <w:pPr>
                <w:spacing w:after="160"/>
              </w:pPr>
              <w:r>
                <w:t xml:space="preserve">Kommunedirektøren ser imidlertid at det også er potensiale for å redusere det lokale styringstrykket, både når det gjelder generelle bestillinger, planer, høringer og tilsyn. Forslagene under er gruppert basert på disse kategoriene.</w:t>
              </w:r>
            </w:p>
            <w:p>
              <w:pPr>
                <w:spacing w:after="160"/>
              </w:pPr>
              <w:r>
                <w:t xml:space="preserve"> </w:t>
              </w:r>
            </w:p>
            <w:p>
              <w:pPr>
                <w:spacing w:after="160"/>
              </w:pPr>
              <w:r>
                <w:rPr>
                  <w:u w:val="single"/>
                </w:rPr>
                <w:t xml:space="preserve">Forslag: Planer</w:t>
              </w:r>
            </w:p>
            <w:p>
              <w:pPr>
                <w:spacing w:after="160"/>
              </w:pPr>
              <w:r>
                <w:t xml:space="preserve">Å utarbeide lange og omfattende planer er mindre relevant i dag fordi kommunesektoren står i en virkelighet som endrer seg raskt. Demografiske endringer, strammere økonomi, teknologisk utvikling og økte forventninger fra innbyggerne gjør at forutsetningene kan endre seg før planene er ferdig vedtatt – eller kort tid etter. Temaplaner kan derfor bli utdaterte før de rekker å bli tatt i bruk. Lange planprosesser binder ofte mye tid og ressurser, samtidig som de kan skape mindre handlingsrom og tregere beslutninger.</w:t>
              </w:r>
            </w:p>
            <w:p>
              <w:pPr>
                <w:spacing w:after="160"/>
              </w:pPr>
              <w:r>
                <w:t xml:space="preserve">I stedet er det behov for en mer handlingsorientert tilnærming, med tydelige mål, korte beslutningslinjer og løpende justering underveis. For å få til bedre samarbeid og mer fleksible prioriteringer, kan planbehovet i stedet ivaretas gjennom HØP. Kommunen må teste tiltak raskere, lære av erfaring og tilpasse seg fortløpende. Kommunedirektøren foreslår derfor følgende tiltak når det gjelder planer:</w:t>
              </w:r>
            </w:p>
            <w:p>
              <w:pPr>
                <w:pStyle w:val="ListParagraph"/>
                <w:numPr>
                  <w:ilvl w:val="0"/>
                  <w:numId w:val="7"/>
                </w:numPr>
                <w:spacing w:after="160"/>
              </w:pPr>
              <w:r>
                <w:t xml:space="preserve">Gjennomgå kommunens planstrategi med formål om å redusere antallet planer, herunder vurdere planer som kan inkluderes i handlings- og økonomiplanen (HØP) - eksempelvis integreringsplanen, digitaliseringsstrategien, arbeidsgiverstrategien. Dette er planer som er sektorovergripende og til dels omtales i mange andre sektor- og temaplaner. En samlet rapportering og tiltaksbeskrivelse gjennom HØP vil gi et bedre og mer helhetlig bilde samtidig som det reduserer den administrative ressursbruken</w:t>
              </w:r>
            </w:p>
            <w:p>
              <w:pPr>
                <w:pStyle w:val="ListParagraph"/>
                <w:numPr>
                  <w:ilvl w:val="0"/>
                  <w:numId w:val="7"/>
                </w:numPr>
                <w:spacing w:after="160"/>
              </w:pPr>
              <w:r>
                <w:t xml:space="preserve">Være mer tiltaksorienterte i våre planer og ta tiltakene inn i HØP. Plantiltak med organisatorisk og/eller økonomisk konsekvens fremmes i HØP</w:t>
              </w:r>
            </w:p>
            <w:p>
              <w:pPr>
                <w:pStyle w:val="ListParagraph"/>
                <w:numPr>
                  <w:ilvl w:val="0"/>
                  <w:numId w:val="7"/>
                </w:numPr>
                <w:spacing w:after="160"/>
              </w:pPr>
              <w:r>
                <w:t xml:space="preserve">Kommunen har mange planverk på ulike nivå. Nye planer bør bare bestilles der dette gir reell styringsverdi og vurderingene som ble foreslått når det gjelder bestilling av nye rapporteringer bør også ligge til grunn (både for administrasjonen og politikken) før nye planer bestilles og utarbeides</w:t>
              </w:r>
            </w:p>
            <w:p>
              <w:pPr>
                <w:spacing w:after="160"/>
              </w:pPr>
              <w:r>
                <w:t xml:space="preserve"> </w:t>
              </w:r>
            </w:p>
            <w:p>
              <w:pPr>
                <w:spacing w:after="160"/>
              </w:pPr>
              <w:r>
                <w:rPr>
                  <w:u w:val="single"/>
                </w:rPr>
                <w:t xml:space="preserve">Forslag: Generelle politiske bestillinger</w:t>
              </w:r>
            </w:p>
            <w:p>
              <w:pPr>
                <w:spacing w:after="160"/>
              </w:pPr>
              <w:r>
                <w:t xml:space="preserve">Kommunedirektøren foreslår at ved </w:t>
              </w:r>
              <w:r>
                <w:rPr>
                  <w:u w:val="single"/>
                </w:rPr>
                <w:t xml:space="preserve">større</w:t>
              </w:r>
              <w:r>
                <w:t xml:space="preserve"> politiske bestillinger vurderes faktorer som merverdi vs. administrativ belastning, hvorvidt dette er besvart tidligere og om det finnes informasjon i allerede tilgjengelig styringsdata (eksempelvis via Framsikt)</w:t>
              </w:r>
            </w:p>
            <w:p>
              <w:pPr>
                <w:spacing w:after="160"/>
              </w:pPr>
              <w:r>
                <w:t xml:space="preserve">Interpellasjoner følger saksbehandlingsreglementet når det gjelder omfang og administrativ ressursbruk. Forespørsler til utvalgene foreslås behandlet på samme måte</w:t>
              </w:r>
            </w:p>
            <w:p>
              <w:pPr>
                <w:spacing w:after="160"/>
              </w:pPr>
              <w:r>
                <w:t xml:space="preserve"> </w:t>
              </w:r>
            </w:p>
            <w:p>
              <w:pPr>
                <w:spacing w:after="160"/>
              </w:pPr>
              <w:r>
                <w:rPr>
                  <w:u w:val="single"/>
                </w:rPr>
                <w:t xml:space="preserve">Forslag: Revisjoner</w:t>
              </w:r>
            </w:p>
            <w:p>
              <w:pPr>
                <w:spacing w:after="160"/>
              </w:pPr>
              <w:r>
                <w:t xml:space="preserve">Kommunesektoren er gjenstand både for statlige tilsyn og kommunale revisjoner. Revisjoner er et viktig verktøy for å sikre kvalitet, etterlevelse, internkontroll og videreutvikling av gode tjenester til innbyggerne. Samtidig innebærer revisjoner et betydelig ressursbehov både administrativt og ikke minst ledelsesmessig. I tillegg til å gjennomføre intervjuer binder revisjoner opp betydelig kapasitet med hensyn til fremskaffelse av underlag og dokumentasjon. En revisjonsprosess vil følgelig pågå over en lengre tidsperiode og strekke seg over flere måneder.</w:t>
              </w:r>
            </w:p>
            <w:p>
              <w:pPr>
                <w:spacing w:after="160"/>
              </w:pPr>
              <w:r>
                <w:t xml:space="preserve">Med denne bakgrunn anbefaler kommunedirektøren følgende:</w:t>
              </w:r>
            </w:p>
            <w:p>
              <w:pPr>
                <w:pStyle w:val="ListParagraph"/>
                <w:numPr>
                  <w:ilvl w:val="0"/>
                  <w:numId w:val="8"/>
                </w:numPr>
                <w:spacing w:after="160"/>
              </w:pPr>
              <w:r>
                <w:t xml:space="preserve">Ved bestilling av ny revisjon, skal det vurderes om statlige myndigheter nylig har gjennomført tilsyn innen samme område. Dersom dette er tilfelle, skal det videre vurderes om denne allerede dekker informasjonsbehovet. Dette vil frigjøre kapasitet og sikre at kommunens ressurser brukes der hvor behovet er størst.</w:t>
              </w:r>
            </w:p>
            <w:p>
              <w:pPr>
                <w:spacing w:after="160"/>
              </w:pPr>
              <w:r>
                <w:t xml:space="preserve"> </w:t>
              </w:r>
            </w:p>
            <w:p>
              <w:pPr>
                <w:spacing w:after="160"/>
              </w:pPr>
              <w:r>
                <w:rPr>
                  <w:u w:val="single"/>
                </w:rPr>
                <w:t xml:space="preserve">Forslag: Høringer</w:t>
              </w:r>
            </w:p>
            <w:p>
              <w:pPr>
                <w:spacing w:after="160"/>
              </w:pPr>
              <w:r>
                <w:t xml:space="preserve">Kommunen motter hvert år en stor andel høringer. I 2025 mottok kommunen ca. 135 høringer og ga høringsuttalelse på et betydelig antall. Enkelte av høringene har også korte frister, og fristene kan bli enda kortere på grunn av lokal saksbehandling. Kommunen har ikke et saksbehandlerapparat som er dimensjonert til å besvare et slikt antall og denne typen oppgaver kommer i tillegg til saksbehandlernes opprinnelige portefølje. Dette kan derfor i perioder medføre kapasitetsutfordringer for administrasjonen.</w:t>
              </w:r>
            </w:p>
            <w:p>
              <w:pPr>
                <w:spacing w:after="160"/>
              </w:pPr>
              <w:r>
                <w:t xml:space="preserve">Kommunedirektøren anbefaler derfor følgende forslag når det gjelder høringer:</w:t>
              </w:r>
            </w:p>
            <w:p>
              <w:pPr>
                <w:pStyle w:val="ListParagraph"/>
                <w:numPr>
                  <w:ilvl w:val="0"/>
                  <w:numId w:val="9"/>
                </w:numPr>
                <w:spacing w:after="160"/>
              </w:pPr>
              <w:r>
                <w:t xml:space="preserve">Administrasjonen gis fullmakt til å redusere antallet høringssaker som utredes. Kun høringer som har vesentlig relevans eller er av prinsipiell betydning legges fram for politisk behandling. Administrasjonen gjør videre en vurdering av hvilke høringer som behandles som saksfremlegg, hvilke som kun tas til orientering som referatsaker og hvilke som ikke legges fram eller besvares</w:t>
              </w:r>
            </w:p>
            <w:p>
              <w:pPr>
                <w:pStyle w:val="ListParagraph"/>
                <w:numPr>
                  <w:ilvl w:val="0"/>
                  <w:numId w:val="9"/>
                </w:numPr>
                <w:spacing w:after="160"/>
              </w:pPr>
              <w:r>
                <w:t xml:space="preserve">Høringer behandles som hovedregel kun i ett utvalg – dette avklares med utvalgsleder</w:t>
              </w:r>
            </w:p>
            <w:p>
              <w:pPr>
                <w:spacing w:after="160"/>
              </w:pPr>
              <w:r>
                <w:t xml:space="preserve"> </w:t>
              </w:r>
            </w:p>
            <w:p>
              <w:pPr>
                <w:spacing w:after="160"/>
              </w:pPr>
              <w:r>
                <w:rPr>
                  <w:u w:val="single"/>
                </w:rPr>
                <w:t xml:space="preserve">Forslag: Lokale tilskuddsordninger</w:t>
              </w:r>
            </w:p>
            <w:p>
              <w:pPr>
                <w:spacing w:after="160"/>
              </w:pPr>
              <w:r>
                <w:t xml:space="preserve">Kommunen forvalter en rekke lokale tilskuddsordninger knyttet til ulike formål, som for eksempel folkehelse, integrering, kultur og frivillighet, klima- og miljøtiltak samt kompetanse- og utviklingsarbeid. Tilskuddsmidlene er bundne midler og skal benyttes i tråd med vilkår og krav som følger ordningene. Dette innebærer at kommunen både mottar midler, følger opp bruken og rapporterer tilbake i henhold til fastsatte krav.</w:t>
              </w:r>
            </w:p>
            <w:p>
              <w:pPr>
                <w:spacing w:after="160"/>
              </w:pPr>
              <w:r>
                <w:t xml:space="preserve">Lokale tilskuddsordninger kan bidra til innovasjon og utvikling innenfor prioriterte områder, og gjøre det mulig å målrette innsatsen mot sentrale behov i lokalsamfunnet. Samtidig skaper tilskuddsordninger ofte et omfattende administrativt arbeid knyttet til både kontroll, oppfølging og rapportering. Små tilskuddsposter medfører ofte like mye administrativt arbeid som større ordninger, og det er behov for å se helhetlig på ressursbruk og nytte.</w:t>
              </w:r>
            </w:p>
            <w:p>
              <w:pPr>
                <w:spacing w:after="160"/>
              </w:pPr>
              <w:r>
                <w:t xml:space="preserve">For å sikre en mer effektiv og hensiktsmessig forvaltning av de lokale tilskuddsordningene foreslår kommunedirektøren følgende tiltak:</w:t>
              </w:r>
            </w:p>
            <w:p>
              <w:pPr>
                <w:pStyle w:val="ListParagraph"/>
                <w:numPr>
                  <w:ilvl w:val="0"/>
                  <w:numId w:val="10"/>
                </w:numPr>
                <w:spacing w:after="160"/>
              </w:pPr>
              <w:r>
                <w:t xml:space="preserve">Igangsette en gjennomgang av lokale tilskuddsordninger for å se om det er mulig å effektivisere søknadsprosessen, tildeling og rapportering</w:t>
              </w:r>
            </w:p>
            <w:p>
              <w:pPr>
                <w:spacing w:after="160"/>
              </w:pPr>
              <w:r>
                <w:t xml:space="preserve"> </w:t>
              </w:r>
            </w:p>
            <w:p>
              <w:pPr>
                <w:spacing w:after="160"/>
              </w:pPr>
              <w:r>
                <w:rPr>
                  <w:u w:val="single"/>
                </w:rPr>
                <w:t xml:space="preserve">Annet</w:t>
              </w:r>
            </w:p>
            <w:p>
              <w:pPr>
                <w:spacing w:after="160"/>
              </w:pPr>
              <w:r>
                <w:t xml:space="preserve">Budsjettet legger opp til en innsparing på 3,5 millioner kroner knyttet til politisk organisering. I den forbindelse vil det være naturlig å vurdere møtefrekvensen – noe som igjen vil kunne medføre reduksjon i administrative forberedelser og møtebelastning. Det er nedsatt en egen arbeidsgruppe for dette arbeidet.</w:t>
              </w:r>
            </w:p>
            <w:p>
              <w:pPr>
                <w:spacing w:after="160"/>
              </w:pPr>
              <w:r>
                <w:t xml:space="preserve"> </w:t>
              </w:r>
            </w:p>
            <w:p>
              <w:pPr>
                <w:spacing w:after="160"/>
              </w:pPr>
              <w:r>
                <w:rPr>
                  <w:b/>
                </w:rPr>
                <w:t xml:space="preserve">Effekten av saken </w:t>
              </w:r>
              <w:r>
                <w:br/>
              </w:r>
              <w:r>
                <w:t xml:space="preserve">Saken omhandler reduksjon av lokalt styringstrykk, og har slik sett ikke direkte konsekvenser for klima, miljø eller folkehelse. Saken kan imidlertid ha positiv økonomisk effekt i form av å frigjøre administrative ressurser til andre oppgaver.</w:t>
              </w:r>
            </w:p>
            <w:tbl>
              <w:tblPr>
                <w:tblStyle w:val="TableGrid"/>
                <w:tblW w:w="0" w:type="auto"/>
                <w:tblBorders>
                  <w:top w:val="single" w:color="000000" w:sz="4"/>
                  <w:left w:val="single" w:color="000000" w:sz="4"/>
                  <w:bottom w:val="single" w:color="000000" w:sz="4"/>
                  <w:right w:val="single" w:color="000000" w:sz="4"/>
                </w:tblBorders>
                <w:tblLook w:firstRow="false" w:lastRow="false" w:firstColumn="false" w:lastColumn="false"/>
              </w:tblPr>
              <w:tblGrid>
                <w:gridCol/>
                <w:gridCol/>
                <w:gridCol/>
                <w:gridCol/>
                <w:gridCol/>
              </w:tblGrid>
              <w:tr>
                <w:trPr>
                  <w:tblCellSpacing w:w="0" w:type="dxa"/>
                </w:trPr>
                <w:tc>
                  <w:tcPr>
                    <w:tcMar>
                      <w:left w:w="108" w:type="dxa"/>
                      <w:right w:w="108" w:type="dxa"/>
                    </w:tcMar>
                    <w:vAlign w:val="center"/>
                  </w:tcPr>
                  <w:p>
                    <w:pPr>
                      <w:spacing w:after="160"/>
                    </w:pPr>
                    <w:r>
                      <w:rPr>
                        <w:b/>
                      </w:rPr>
                      <w:t xml:space="preserve">Perspektiv</w:t>
                    </w:r>
                  </w:p>
                </w:tc>
                <w:tc>
                  <w:tcPr>
                    <w:tcMar>
                      <w:left w:w="108" w:type="dxa"/>
                      <w:right w:w="108" w:type="dxa"/>
                    </w:tcMar>
                    <w:vAlign w:val="center"/>
                  </w:tcPr>
                  <w:p>
                    <w:pPr>
                      <w:spacing w:after="160"/>
                    </w:pPr>
                    <w:r>
                      <w:rPr>
                        <w:b/>
                      </w:rPr>
                      <w:t xml:space="preserve">Negativ</w:t>
                    </w:r>
                  </w:p>
                </w:tc>
                <w:tc>
                  <w:tcPr>
                    <w:tcMar>
                      <w:left w:w="108" w:type="dxa"/>
                      <w:right w:w="108" w:type="dxa"/>
                    </w:tcMar>
                    <w:vAlign w:val="center"/>
                  </w:tcPr>
                  <w:p>
                    <w:pPr>
                      <w:spacing w:after="160"/>
                    </w:pPr>
                    <w:r>
                      <w:rPr>
                        <w:b/>
                      </w:rPr>
                      <w:t xml:space="preserve">Nøytral</w:t>
                    </w:r>
                  </w:p>
                </w:tc>
                <w:tc>
                  <w:tcPr>
                    <w:tcMar>
                      <w:left w:w="108" w:type="dxa"/>
                      <w:right w:w="108" w:type="dxa"/>
                    </w:tcMar>
                    <w:vAlign w:val="center"/>
                  </w:tcPr>
                  <w:p>
                    <w:pPr>
                      <w:spacing w:after="160"/>
                    </w:pPr>
                    <w:r>
                      <w:rPr>
                        <w:b/>
                      </w:rPr>
                      <w:t xml:space="preserve">Positiv</w:t>
                    </w:r>
                  </w:p>
                </w:tc>
                <w:tc>
                  <w:tcPr>
                    <w:tcMar>
                      <w:left w:w="108" w:type="dxa"/>
                      <w:right w:w="108" w:type="dxa"/>
                    </w:tcMar>
                    <w:vAlign w:val="center"/>
                  </w:tcPr>
                  <w:p>
                    <w:pPr>
                      <w:spacing w:after="160"/>
                    </w:pPr>
                    <w:r>
                      <w:rPr>
                        <w:b/>
                      </w:rPr>
                      <w:t xml:space="preserve">Ikke relevant</w:t>
                    </w:r>
                  </w:p>
                </w:tc>
              </w:tr>
              <w:tr>
                <w:trPr>
                  <w:tblCellSpacing w:w="0" w:type="dxa"/>
                </w:trPr>
                <w:tc>
                  <w:tcPr>
                    <w:tcMar>
                      <w:left w:w="108" w:type="dxa"/>
                      <w:right w:w="108" w:type="dxa"/>
                    </w:tcMar>
                    <w:vAlign w:val="center"/>
                  </w:tcPr>
                  <w:p>
                    <w:pPr>
                      <w:spacing w:after="160"/>
                    </w:pPr>
                    <w:r>
                      <w:t xml:space="preserve">Konsekvens for klima på kort og lang sikt</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r>
              <w:tr>
                <w:trPr>
                  <w:tblCellSpacing w:w="0" w:type="dxa"/>
                </w:trPr>
                <w:tc>
                  <w:tcPr>
                    <w:tcMar>
                      <w:left w:w="108" w:type="dxa"/>
                      <w:right w:w="108" w:type="dxa"/>
                    </w:tcMar>
                    <w:vAlign w:val="center"/>
                  </w:tcPr>
                  <w:p>
                    <w:pPr>
                      <w:spacing w:after="160"/>
                    </w:pPr>
                    <w:r>
                      <w:t xml:space="preserve">Konsekvens for miljøet på kort og lang sikt</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r>
              <w:tr>
                <w:trPr>
                  <w:tblCellSpacing w:w="0" w:type="dxa"/>
                </w:trPr>
                <w:tc>
                  <w:tcPr>
                    <w:tcMar>
                      <w:left w:w="108" w:type="dxa"/>
                      <w:right w:w="108" w:type="dxa"/>
                    </w:tcMar>
                    <w:vAlign w:val="center"/>
                  </w:tcPr>
                  <w:p>
                    <w:pPr>
                      <w:spacing w:after="160"/>
                    </w:pPr>
                    <w:r>
                      <w:t xml:space="preserve">Økonomiske konsekvenser i et langt perspektiv</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c>
                  <w:tcPr>
                    <w:tcMar>
                      <w:left w:w="108" w:type="dxa"/>
                      <w:right w:w="108" w:type="dxa"/>
                    </w:tcMar>
                    <w:vAlign w:val="center"/>
                  </w:tcPr>
                  <w:p>
                    <w:pPr>
                      <w:jc w:val="center"/>
                      <w:spacing w:after="160"/>
                    </w:pPr>
                    <w:r>
                      <w:t xml:space="preserve"> </w:t>
                    </w:r>
                  </w:p>
                </w:tc>
              </w:tr>
              <w:tr>
                <w:trPr>
                  <w:tblCellSpacing w:w="0" w:type="dxa"/>
                </w:trPr>
                <w:tc>
                  <w:tcPr>
                    <w:tcMar>
                      <w:left w:w="108" w:type="dxa"/>
                      <w:right w:w="108" w:type="dxa"/>
                    </w:tcMar>
                    <w:vAlign w:val="center"/>
                  </w:tcPr>
                  <w:p>
                    <w:pPr>
                      <w:spacing w:after="160"/>
                    </w:pPr>
                    <w:r>
                      <w:t xml:space="preserve">Konsekvens for folkehelsen</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r>
            </w:tbl>
            <w:p>
              <w:pPr>
                <w:spacing w:after="160"/>
              </w:pPr>
              <w:r>
                <w:br/>
              </w:r>
              <w:r>
                <w:rPr>
                  <w:b/>
                </w:rPr>
                <w:t xml:space="preserve">Kommunedirektørens vurdering og konklusjon</w:t>
              </w:r>
              <w:r>
                <w:br/>
              </w:r>
              <w:r>
                <w:t xml:space="preserve">Formannskapets bestilling om å konkretisere tiltak som kan redusere det lokale styringstrykket har synliggjort et stort potensial for å frigjøre administrative ressurser og sikre bedre balanse i styringstrykket. Arbeidet har også avdekket at både statlige og lokale føringer samlet legger et omfattende press på organisasjonen, og at dagens praksis flere steder ikke er bærekraftig i en tid med store omstillingsbehov.</w:t>
              </w:r>
            </w:p>
            <w:p>
              <w:pPr>
                <w:spacing w:after="160"/>
              </w:pPr>
              <w:r>
                <w:t xml:space="preserve">Kommunedirektøren anbefaler at Formannskapet vedtar iverksettelse av tiltakene nevnt i saken. For å tydeliggjøre særskilt de mer konkrete tiltakene, er disse oppsummert kortfattet i tabellen under:</w:t>
              </w:r>
            </w:p>
            <w:p>
              <w:pPr>
                <w:spacing w:after="160"/>
              </w:pPr>
              <w:r>
                <w:t xml:space="preserve"> </w:t>
              </w: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2774.7"/>
                <w:gridCol w:w="6225.3"/>
              </w:tblGrid>
              <w:tr>
                <w:trPr>
                  <w:tblCellSpacing w:w="0" w:type="dxa"/>
                </w:trPr>
                <w:tc>
                  <w:tcPr>
                    <w:tcW w:w="3440" w:type="auto"/>
                    <w:shd w:val="clear" w:color="auto" w:fill="D1D1D1"/>
                    <w:tcMar>
                      <w:left w:w="108" w:type="dxa"/>
                      <w:right w:w="108" w:type="dxa"/>
                    </w:tcMar>
                    <w:vAlign w:val="top"/>
                  </w:tcPr>
                  <w:p>
                    <w:pPr>
                      <w:spacing w:after="160"/>
                    </w:pPr>
                    <w:r>
                      <w:rPr>
                        <w:b/>
                        <w:shd w:val="clear" w:fill="D1D1D1"/>
                      </w:rPr>
                      <w:t xml:space="preserve">Område</w:t>
                    </w:r>
                  </w:p>
                </w:tc>
                <w:tc>
                  <w:tcPr>
                    <w:tcW w:w="6320" w:type="auto"/>
                    <w:tcBorders>
                      <w:top w:val="single" w:color="000000" w:sz="0"/>
                      <w:left w:val="none" w:color="000000" w:sz="0"/>
                      <w:bottom w:val="single" w:color="000000" w:sz="0"/>
                      <w:right w:val="single" w:color="000000" w:sz="0"/>
                    </w:tcBorders>
                    <w:shd w:val="clear" w:color="auto" w:fill="D1D1D1"/>
                    <w:tcMar>
                      <w:left w:w="108" w:type="dxa"/>
                      <w:right w:w="108" w:type="dxa"/>
                    </w:tcMar>
                    <w:vAlign w:val="top"/>
                  </w:tcPr>
                  <w:p>
                    <w:pPr>
                      <w:spacing w:after="160"/>
                    </w:pPr>
                    <w:r>
                      <w:rPr>
                        <w:b/>
                        <w:shd w:val="clear" w:fill="D1D1D1"/>
                      </w:rPr>
                      <w:t xml:space="preserve">Tiltak</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Rapporteringsrutiner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1"/>
                      </w:numPr>
                      <w:spacing w:after="160"/>
                    </w:pPr>
                    <w:r>
                      <w:t xml:space="preserve">Begrense rapportering til lovpålagte rapporter og rapporter som er nødvendig for politisk styring og rapportering</w:t>
                    </w:r>
                  </w:p>
                  <w:p>
                    <w:pPr>
                      <w:pStyle w:val="ListParagraph"/>
                      <w:numPr>
                        <w:ilvl w:val="0"/>
                        <w:numId w:val="11"/>
                      </w:numPr>
                      <w:spacing w:after="160"/>
                    </w:pPr>
                    <w:r>
                      <w:t xml:space="preserve">Foreta vurdering av behov, hyppighet, overlapp med andre rapporteringer, merverdi vs. ressursbruk ved bestilling av nye rapporteringer</w:t>
                    </w:r>
                  </w:p>
                  <w:p>
                    <w:pPr>
                      <w:pStyle w:val="ListParagraph"/>
                      <w:numPr>
                        <w:ilvl w:val="0"/>
                        <w:numId w:val="11"/>
                      </w:numPr>
                      <w:spacing w:after="160"/>
                    </w:pPr>
                    <w:r>
                      <w:t xml:space="preserve">Videreutvikle bruken av sanntidsrapportering</w:t>
                    </w:r>
                  </w:p>
                  <w:p>
                    <w:pPr>
                      <w:pStyle w:val="ListParagraph"/>
                      <w:numPr>
                        <w:ilvl w:val="0"/>
                        <w:numId w:val="11"/>
                      </w:numPr>
                      <w:spacing w:after="160"/>
                    </w:pPr>
                    <w:r>
                      <w:t xml:space="preserve">Tertialrapport 1 og 2 eksklusive finans avvikles og erstattes med én halvårsrapport</w:t>
                    </w:r>
                  </w:p>
                  <w:p>
                    <w:pPr>
                      <w:pStyle w:val="ListParagraph"/>
                      <w:numPr>
                        <w:ilvl w:val="0"/>
                        <w:numId w:val="11"/>
                      </w:numPr>
                      <w:spacing w:after="160"/>
                    </w:pPr>
                    <w:r>
                      <w:t xml:space="preserve">Virksomhetsplaner avvikles og rapportering på politiske bestillinger tilgjengeliggjøres fortløpende i Framsikt</w:t>
                    </w:r>
                  </w:p>
                  <w:p>
                    <w:pPr>
                      <w:pStyle w:val="ListParagraph"/>
                      <w:numPr>
                        <w:ilvl w:val="0"/>
                        <w:numId w:val="11"/>
                      </w:numPr>
                      <w:spacing w:after="160"/>
                    </w:pPr>
                    <w:r>
                      <w:t xml:space="preserve">Rapportere sykefravær kvartalsvis til PSU og ut over det bruke Framsikt/ liknende plattform for fortløpende oversikt over sykefraværet</w:t>
                    </w:r>
                  </w:p>
                  <w:p>
                    <w:pPr>
                      <w:pStyle w:val="ListParagraph"/>
                      <w:numPr>
                        <w:ilvl w:val="0"/>
                        <w:numId w:val="11"/>
                      </w:numPr>
                      <w:spacing w:after="160"/>
                    </w:pPr>
                    <w:r>
                      <w:t xml:space="preserve">Hvert politiske utvalg tar en gjennomgang av de løpende rapporteringene som gjøres i dag basert på vurderingspunktene nevnt i kapittelet om rapporteringsrutiner</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Interne regelverk og rutiner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2"/>
                      </w:numPr>
                      <w:spacing w:after="160"/>
                    </w:pPr>
                    <w:r>
                      <w:t xml:space="preserve">Gjennomgang av kommunens overordnede dokumenter som HØP, årsmelding, tertialrapportering og planverk for å redusere gjentagelser og lange tekstmengder uten tydelig merverdi</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Andre tiltak: Planer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3"/>
                      </w:numPr>
                      <w:spacing w:after="160"/>
                    </w:pPr>
                    <w:r>
                      <w:t xml:space="preserve">Revidere kommunens planstrategi med formål å redusere antallet planer, herunder vurdere planer som kan inkluderes i HØP</w:t>
                    </w:r>
                  </w:p>
                  <w:p>
                    <w:pPr>
                      <w:pStyle w:val="ListParagraph"/>
                      <w:numPr>
                        <w:ilvl w:val="0"/>
                        <w:numId w:val="13"/>
                      </w:numPr>
                      <w:spacing w:after="160"/>
                    </w:pPr>
                    <w:r>
                      <w:t xml:space="preserve">Være mer tiltaksorienterte i våre planer og ta tiltakene inn i HØP</w:t>
                    </w:r>
                  </w:p>
                  <w:p>
                    <w:pPr>
                      <w:pStyle w:val="ListParagraph"/>
                      <w:numPr>
                        <w:ilvl w:val="0"/>
                        <w:numId w:val="13"/>
                      </w:numPr>
                      <w:spacing w:after="160"/>
                    </w:pPr>
                    <w:r>
                      <w:t xml:space="preserve">Nye planer bør bare bestilles der dette gir reell styringsverdi og vurderingene som ble foreslått når det gjelder bestilling av nye rapporteringer bør også ligge til grunn før nye planer bestilles og utarbeides</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Andre tiltak: Generelle politiske bestillinger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4"/>
                      </w:numPr>
                      <w:spacing w:after="160"/>
                    </w:pPr>
                    <w:r>
                      <w:t xml:space="preserve">Ved </w:t>
                    </w:r>
                    <w:r>
                      <w:rPr>
                        <w:u w:val="single"/>
                      </w:rPr>
                      <w:t xml:space="preserve">større</w:t>
                    </w:r>
                    <w:r>
                      <w:t xml:space="preserve"> politiske bestillinger vurderes faktorer som merverdi vs. administrativ belastning, hvorvidt dette er besvart tidligere og om det finnes informasjon i allerede tilgjengelig styringsdata (eksempelvis via Framsikt)</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Andre tiltak: Revisjoner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5"/>
                      </w:numPr>
                      <w:spacing w:after="160"/>
                    </w:pPr>
                    <w:r>
                      <w:t xml:space="preserve">Ved bestilling av ny revisjon, skal det vurderes om statlige myndigheter  nylig har gjennomført revisjon eller tilsyn innen samme område. Dersom dette er tilfelle, skal det videre vurderes om denne allerede dekker informasjonsbehovet</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Konkrete forslag: Høringer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6"/>
                      </w:numPr>
                      <w:spacing w:after="160"/>
                    </w:pPr>
                    <w:r>
                      <w:t xml:space="preserve">Administrasjonen får fullmakt til å begrense antall utredede høringssaker</w:t>
                    </w:r>
                  </w:p>
                  <w:p>
                    <w:pPr>
                      <w:pStyle w:val="ListParagraph"/>
                      <w:numPr>
                        <w:ilvl w:val="0"/>
                        <w:numId w:val="16"/>
                      </w:numPr>
                      <w:spacing w:after="160"/>
                    </w:pPr>
                    <w:r>
                      <w:t xml:space="preserve">Høringer behandles som hovedregel kun i ett utvalg – dette avklares med utvalgsleder</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Konkrete forslag: Lokale tilskuddsordninger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7"/>
                      </w:numPr>
                      <w:spacing w:after="160"/>
                    </w:pPr>
                    <w:r>
                      <w:t xml:space="preserve">Igangsette en gjennomgang av lokale tilskuddsordninger for å se om det er mulig å effektivisere søknadsprosessen, tildeling og rapportering</w:t>
                    </w:r>
                  </w:p>
                  <w:p>
                    <w:pPr>
                      <w:spacing w:after="160"/>
                    </w:pPr>
                    <w:r>
                      <w:t xml:space="preserve"> </w:t>
                    </w:r>
                  </w:p>
                </w:tc>
              </w:tr>
            </w:tbl>
            <w:p>
              <w:pPr>
                <w:spacing w:after="160"/>
              </w:pPr>
              <w:r>
                <w:t xml:space="preserve"> </w:t>
              </w:r>
            </w:p>
            <w:p>
              <w:pPr>
                <w:spacing w:after="160"/>
              </w:pPr>
              <w:r>
                <w:t xml:space="preserve"> </w:t>
              </w:r>
            </w:p>
            <w:p>
              <w:pPr>
                <w:spacing w:after="160"/>
              </w:pPr>
              <w:r>
                <w:t xml:space="preserve"> </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beebc4341bee41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Reduksjon av lokalt styringstrykk </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