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26/6509</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Elisabeth Forsbakk Beichmann</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11.03.2026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Formannskapet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Bystyret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Kompensasjonsordning for bomutgifter – Bypakke Grenland fase 2</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spacing w:after="160"/>
              </w:pPr>
              <w:r>
                <w:t xml:space="preserve">Følgende kriterier legges til grunn for å få støtte til passering av bommer.</w:t>
              </w:r>
            </w:p>
            <w:p>
              <w:pPr>
                <w:pStyle w:val="ListParagraph"/>
                <w:numPr>
                  <w:ilvl w:val="0"/>
                  <w:numId w:val="1"/>
                </w:numPr>
                <w:spacing w:after="160"/>
              </w:pPr>
              <w:r>
                <w:rPr>
                  <w:b/>
                </w:rPr>
                <w:t xml:space="preserve">Målgruppe</w:t>
              </w:r>
              <w:r>
                <w:br/>
              </w:r>
              <w:r>
                <w:t xml:space="preserve">Støtte kan gis til husholdninger med barn og unge fra og med det året barnet fyller 1 år til og med det året ungdommen fyller 18 år.</w:t>
              </w:r>
            </w:p>
            <w:p>
              <w:pPr>
                <w:pStyle w:val="ListParagraph"/>
                <w:numPr>
                  <w:ilvl w:val="0"/>
                  <w:numId w:val="1"/>
                </w:numPr>
                <w:spacing w:after="160"/>
              </w:pPr>
              <w:r>
                <w:rPr>
                  <w:b/>
                </w:rPr>
                <w:t xml:space="preserve">Inntektsvilkår</w:t>
              </w:r>
              <w:r>
                <w:br/>
              </w:r>
              <w:r>
                <w:t xml:space="preserve">Støtte kan gis til husholdninger som har samlet skattepliktig person- og kapitalinntekt, jamfør siste tilgjengelige skattemelding under 4G. 1G = 130 160, ny sats vedtas 1. mai 2026.</w:t>
              </w:r>
            </w:p>
            <w:p>
              <w:pPr>
                <w:pStyle w:val="ListParagraph"/>
                <w:numPr>
                  <w:ilvl w:val="0"/>
                  <w:numId w:val="1"/>
                </w:numPr>
                <w:spacing w:after="160"/>
              </w:pPr>
              <w:r>
                <w:rPr>
                  <w:b/>
                </w:rPr>
                <w:t xml:space="preserve">Krav til bilbruk</w:t>
              </w:r>
              <w:r>
                <w:br/>
              </w:r>
              <w:r>
                <w:t xml:space="preserve">Husholdningen må eie eller privat lease bil. Det gis ikke støtte til bomutgifter knyttet til firmabil.</w:t>
              </w:r>
            </w:p>
            <w:p>
              <w:pPr>
                <w:pStyle w:val="ListParagraph"/>
                <w:numPr>
                  <w:ilvl w:val="0"/>
                  <w:numId w:val="1"/>
                </w:numPr>
                <w:spacing w:after="160"/>
              </w:pPr>
              <w:r>
                <w:rPr>
                  <w:b/>
                </w:rPr>
                <w:t xml:space="preserve">Støtteform og nivå</w:t>
              </w:r>
              <w:r>
                <w:br/>
              </w:r>
              <w:r>
                <w:t xml:space="preserve">Støtten gis som et årlig beløp per husholdning. Det gjøres ingen gradering etter inntekt, antall barn eller faktisk antall bompasseringer.</w:t>
              </w:r>
              <w:r>
                <w:br/>
              </w:r>
              <w:r>
                <w:t xml:space="preserve">Støtten fastsettes til et beløp tilsvarende 100 ganger gjeldende rushtidsavgift med bompengebrikke. 100*21,6= 2 160</w:t>
              </w:r>
            </w:p>
            <w:p>
              <w:pPr>
                <w:pStyle w:val="ListParagraph"/>
                <w:numPr>
                  <w:ilvl w:val="0"/>
                  <w:numId w:val="1"/>
                </w:numPr>
                <w:spacing w:after="160"/>
              </w:pPr>
              <w:r>
                <w:rPr>
                  <w:b/>
                </w:rPr>
                <w:t xml:space="preserve">Søknad, frist og utbetaling</w:t>
              </w:r>
              <w:r>
                <w:br/>
              </w:r>
              <w:r>
                <w:t xml:space="preserve">Støtten må søkes gjennom et digitalt søknadsskjema som er tilgjengelig på Skien kommune sine hjemmesider. Søknadsfristen foreslås satt til 31.10.2026.</w:t>
              </w:r>
              <w:r>
                <w:br/>
              </w:r>
              <w:r>
                <w:t xml:space="preserve">Søknader må være fullstendig dokumentert innen søknadsfristen for å bli behandlet. Støtten utbetales samlet i januar 2027. Ordningen gjelder fra og med 2027 og det må sendes inn ny søknad hvert år.</w:t>
              </w:r>
            </w:p>
            <w:p>
              <w:pPr>
                <w:pStyle w:val="ListParagraph"/>
                <w:numPr>
                  <w:ilvl w:val="0"/>
                  <w:numId w:val="1"/>
                </w:numPr>
                <w:spacing w:after="160"/>
              </w:pPr>
              <w:r>
                <w:rPr>
                  <w:b/>
                </w:rPr>
                <w:t xml:space="preserve">Administrasjon og saksbehandling</w:t>
              </w:r>
              <w:r>
                <w:br/>
              </w:r>
              <w:r>
                <w:t xml:space="preserve">Servicesenteret i Skien kommune gis ansvar for saksbehandling av søknadene.</w:t>
              </w:r>
              <w:r>
                <w:br/>
              </w:r>
              <w:r>
                <w:br/>
              </w:r>
              <w:r>
                <w:t xml:space="preserve"> </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I Bystyret sak 82/24 ny Bystrategi for Grenland 2024 – 2035 ble følgende vedtatt:</w:t>
              </w:r>
            </w:p>
            <w:p>
              <w:pPr>
                <w:spacing w:after="160"/>
              </w:pPr>
              <w:r>
                <w:t xml:space="preserve">I forbindelse med innføring av Bypakke 2 innføres en søkbar kompensasjonsordning, for folk som har behov for økonomisk hjelp til å betale bomutgifter.</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t xml:space="preserve">Det vil bli utarbeidet et digitalt søknadsskjema, som gjøres tilgjengelig på Skien kommune sine hjemmesider. Søknadsskjemaet skal tydelig angi hvilke kriterier som gjelder, hvilken dokumentasjon som må vedlegges, og hvilken frist som gjelder for innsending.</w:t>
              </w:r>
            </w:p>
            <w:p>
              <w:pPr>
                <w:spacing w:after="160"/>
              </w:pPr>
              <w:r>
                <w:t xml:space="preserve">Servicesenteret i Skien kommune foreslås gitt ansvar for mottak og behandling av søknader. Dette vurderes som hensiktsmessig, da servicesenteret allerede har etablerte rutiner for håndtering av søknadsbaserte ordninger rettet mot innbyggere, og kan sikre en effektiv og lik praksis.</w:t>
              </w:r>
            </w:p>
            <w:p>
              <w:pPr>
                <w:spacing w:after="160"/>
              </w:pPr>
              <w:r>
                <w:t xml:space="preserve">Kompensasjon bør knyttes til person- og kapitalinntekt, og beregnes i tråd med gjeldende regelverk for inntektsfastsettelse og hvem som er støtteberettiget, tilsvarende forskrift om foreldrebetaling i barnehage.</w:t>
              </w:r>
            </w:p>
            <w:p>
              <w:pPr>
                <w:spacing w:after="160"/>
              </w:pPr>
              <w:r>
                <w:t xml:space="preserve">Det vurderes som hensiktsmessig å fastsette inntektsgrensen til 4G, i tråd med Porsgrunn kommune. Som også skal ha tilsvarende søkbar kompensasjonsordning for bompenger fra og med 2027. Av hensyn til samordning foreslås det at ordningene har felles vilkår, herunder inntektsgrense på 4G og krav om årlig søknad.</w:t>
              </w:r>
            </w:p>
            <w:p>
              <w:pPr>
                <w:spacing w:after="160"/>
              </w:pPr>
              <w:r>
                <w:t xml:space="preserve">Sist gang denne saken ble behandlet i Bystyret den 11.05.2017 sak 61/17, så ble det vedtatt at husholdninger som har en samlet inntekt lik dagens forskrift om foreldrebetaling i barnehage skulle motta støtte, da var inntektsgrensen 533 500. Hvis vi skulle benytte samme grunnlag i dag så ville inntektsgrensen bli meget lav, 220 000 per år.</w:t>
              </w:r>
            </w:p>
            <w:p>
              <w:pPr>
                <w:spacing w:after="160"/>
              </w:pPr>
              <w:r>
                <w:t xml:space="preserve">Med passeringstak/månedstak på 60 passeringer vil ingen ha bompengeutgifter høyere enn kr 1 300 med dagens rushtidssats og med bompengebrikke.</w:t>
              </w:r>
            </w:p>
            <w:p>
              <w:pPr>
                <w:spacing w:after="160"/>
              </w:pPr>
              <w:r>
                <w:t xml:space="preserve">Å vurdere behovet for bompasseringen for hver familie vil være svært omfattende, det bør være tilstrekkelig å si at det er barnefamilier som eier eller leaser privat bil som kan få støtte.</w:t>
              </w:r>
            </w:p>
            <w:p>
              <w:pPr>
                <w:spacing w:after="160"/>
              </w:pPr>
              <w:r>
                <w:t xml:space="preserve">En foreslår at støtte kan gis til familier med barn fra 1 år og til og med det året ungdommen fyller 18 år.</w:t>
              </w:r>
            </w:p>
            <w:p>
              <w:pPr>
                <w:spacing w:after="160"/>
              </w:pPr>
              <w:r>
                <w:t xml:space="preserve">For å forenkle dokumentasjonsbehovet for den enkelte, så ber vi om samtykke til oppslag av inntekt og at barn bor på samme adresse som søker. Kopi av vognkort må vedlegges søknaden.</w:t>
              </w:r>
            </w:p>
            <w:p>
              <w:pPr>
                <w:spacing w:after="160"/>
              </w:pPr>
              <w:r>
                <w:t xml:space="preserve">Søknader behandles på bakgrunn av:</w:t>
              </w:r>
            </w:p>
            <w:p>
              <w:pPr>
                <w:pStyle w:val="ListParagraph"/>
                <w:numPr>
                  <w:ilvl w:val="0"/>
                  <w:numId w:val="2"/>
                </w:numPr>
                <w:spacing w:after="160"/>
              </w:pPr>
              <w:r>
                <w:t xml:space="preserve">Samtykke til oppslag av husholdningens inntekt</w:t>
              </w:r>
            </w:p>
            <w:p>
              <w:pPr>
                <w:pStyle w:val="ListParagraph"/>
                <w:numPr>
                  <w:ilvl w:val="0"/>
                  <w:numId w:val="2"/>
                </w:numPr>
                <w:spacing w:after="160"/>
              </w:pPr>
              <w:r>
                <w:t xml:space="preserve">Samtykke til oppslag av barn i husholdningen</w:t>
              </w:r>
            </w:p>
            <w:p>
              <w:pPr>
                <w:pStyle w:val="ListParagraph"/>
                <w:numPr>
                  <w:ilvl w:val="0"/>
                  <w:numId w:val="2"/>
                </w:numPr>
                <w:spacing w:after="160"/>
              </w:pPr>
              <w:r>
                <w:t xml:space="preserve">Dokumentasjon av privat eid eller privat leaset bil</w:t>
              </w:r>
            </w:p>
            <w:p>
              <w:pPr>
                <w:spacing w:after="160"/>
              </w:pPr>
              <w:r>
                <w:t xml:space="preserve">Søknader som ikke er fullstendig dokumentert innen søknadsfristen </w:t>
              </w:r>
              <w:r>
                <w:rPr>
                  <w:b/>
                </w:rPr>
                <w:t xml:space="preserve">31.10.2026</w:t>
              </w:r>
              <w:r>
                <w:t xml:space="preserve">, vil ikke bli behandlet.</w:t>
              </w:r>
            </w:p>
            <w:p>
              <w:pPr>
                <w:spacing w:after="160"/>
              </w:pPr>
              <w:r>
                <w:rPr>
                  <w:b/>
                </w:rPr>
                <w:t xml:space="preserve">Størrelse på støtten</w:t>
              </w:r>
            </w:p>
            <w:p>
              <w:pPr>
                <w:spacing w:after="160"/>
              </w:pPr>
              <w:r>
                <w:t xml:space="preserve">Graderte støttebeløp, for eksempel basert på antall barn og unge i husholdningen, størrelsen på framlagte kvitteringer for bompasseringer eller andre individuelle forhold, vil kreve uforholdsmessig store saksbehandlingsressurser sett opp mot relativt små støttebeløp per husholdning. Støttebeløpet som fastsettes bør være uten gradering eller noen form for skjønnsvurdering.</w:t>
              </w:r>
            </w:p>
            <w:p>
              <w:pPr>
                <w:spacing w:after="160"/>
              </w:pPr>
              <w:r>
                <w:t xml:space="preserve">Dersom støtten beregnes som 100 ganger avgiften for passering med bombrikke, tilsvarer dette en årlig støtte på 2 160 kroner, basert på en pris på 21,6 kroner per passering. Med skole i ti måneder, barnehage i elleve måneder og fritidsaktiviteter i 10–11 måneder, gir dette en gjennomsnittlig månedlig støtte på om lag 196 kroner over elleve måneder eller 216 kroner over ti måneder. Dette utgjør om lag 17–18 prosent av maksimal månedlig bomavgift.</w:t>
              </w:r>
            </w:p>
            <w:p>
              <w:pPr>
                <w:spacing w:after="160"/>
              </w:pPr>
              <w:r>
                <w:t xml:space="preserve">Støtten søkes om for inneværende år med frist 31.10.2026 og utbetales i januar 2027. Det må søkes på nytt hvert år.</w:t>
              </w:r>
            </w:p>
            <w:p>
              <w:pPr>
                <w:spacing w:after="160"/>
              </w:pPr>
              <w:r>
                <w:rPr>
                  <w:b/>
                </w:rPr>
                <w:t xml:space="preserve"> </w:t>
              </w:r>
            </w:p>
            <w:p>
              <w:pPr>
                <w:spacing w:after="160"/>
              </w:pPr>
              <w:r>
                <w:t xml:space="preserve"> </w:t>
              </w:r>
              <w:r>
                <w:rPr>
                  <w:b/>
                </w:rPr>
                <w:t xml:space="preserve">Oversikt over tidligere år</w:t>
              </w:r>
            </w:p>
            <w:tbl>
              <w:tblPr>
                <w:tblStyle w:val="TableGrid"/>
                <w:tblW w:w="0" w:type="auto"/>
                <w:tblLook w:firstRow="false" w:lastRow="false" w:firstColumn="false" w:lastColumn="false"/>
              </w:tblPr>
              <w:tblGrid>
                <w:gridCol/>
                <w:gridCol/>
                <w:gridCol/>
              </w:tblGrid>
              <w:tr>
                <w:trPr>
                  <w:trHeight w:val="684" w:hRule="atLeast"/>
                </w:trPr>
                <w:tc>
                  <w:tcPr>
                    <w:tcW w:w="1240" w:type="auto"/>
                    <w:shd w:val="clear" w:color="auto" w:fill="F5F5F5"/>
                    <w:tcMar>
                      <w:left w:w="70" w:type="dxa"/>
                      <w:right w:w="70" w:type="dxa"/>
                    </w:tcMar>
                    <w:vAlign w:val="center"/>
                  </w:tcPr>
                  <w:p>
                    <w:pPr>
                      <w:spacing w:after="160"/>
                    </w:pPr>
                    <w:r>
                      <w:rPr>
                        <w:b/>
                        <w:shd w:val="clear" w:fill="F5F5F5"/>
                      </w:rPr>
                      <w:t xml:space="preserve">År</w:t>
                    </w:r>
                  </w:p>
                </w:tc>
                <w:tc>
                  <w:tcPr>
                    <w:tcW w:w="2280" w:type="auto"/>
                    <w:tcBorders>
                      <w:top w:val="single" w:color="000000" w:sz="0"/>
                      <w:left w:val="none" w:color="000000" w:sz="0"/>
                      <w:bottom w:val="single" w:color="000000" w:sz="0"/>
                      <w:right w:val="single" w:color="000000" w:sz="0"/>
                    </w:tcBorders>
                    <w:shd w:val="clear" w:color="auto" w:fill="F5F5F5"/>
                    <w:tcMar>
                      <w:left w:w="70" w:type="dxa"/>
                      <w:right w:w="70" w:type="dxa"/>
                    </w:tcMar>
                    <w:vAlign w:val="center"/>
                  </w:tcPr>
                  <w:p>
                    <w:pPr>
                      <w:jc w:val="center"/>
                      <w:spacing w:after="160"/>
                    </w:pPr>
                    <w:r>
                      <w:rPr>
                        <w:b/>
                        <w:shd w:val="clear" w:fill="F5F5F5"/>
                      </w:rPr>
                      <w:t xml:space="preserve">Antall mottakere</w:t>
                    </w:r>
                  </w:p>
                </w:tc>
                <w:tc>
                  <w:tcPr>
                    <w:tcW w:w="2120" w:type="auto"/>
                    <w:tcBorders>
                      <w:top w:val="single" w:color="000000" w:sz="0"/>
                      <w:left w:val="none" w:color="000000" w:sz="0"/>
                      <w:bottom w:val="single" w:color="000000" w:sz="0"/>
                      <w:right w:val="single" w:color="000000" w:sz="0"/>
                    </w:tcBorders>
                    <w:shd w:val="clear" w:color="auto" w:fill="F5F5F5"/>
                    <w:tcMar>
                      <w:left w:w="70" w:type="dxa"/>
                      <w:right w:w="70" w:type="dxa"/>
                    </w:tcMar>
                    <w:vAlign w:val="center"/>
                  </w:tcPr>
                  <w:p>
                    <w:pPr>
                      <w:jc w:val="center"/>
                      <w:spacing w:after="160"/>
                    </w:pPr>
                    <w:r>
                      <w:rPr>
                        <w:b/>
                        <w:shd w:val="clear" w:fill="F5F5F5"/>
                      </w:rPr>
                      <w:t xml:space="preserve">Utbetalt beløp</w:t>
                    </w:r>
                  </w:p>
                </w:tc>
              </w:tr>
              <w:tr>
                <w:trPr>
                  <w:trHeight w:val="348" w:hRule="atLeast"/>
                </w:trPr>
                <w:tc>
                  <w:tcPr>
                    <w:tcW w:w="1240" w:type="auto"/>
                    <w:tcBorders>
                      <w:top w:val="none" w:color="000000" w:sz="0"/>
                      <w:left w:val="single" w:color="000000" w:sz="0"/>
                      <w:bottom w:val="single" w:color="000000" w:sz="0"/>
                      <w:right w:val="single" w:color="000000" w:sz="0"/>
                    </w:tcBorders>
                    <w:tcMar>
                      <w:left w:w="70" w:type="dxa"/>
                      <w:right w:w="70" w:type="dxa"/>
                    </w:tcMar>
                    <w:vAlign w:val="center"/>
                  </w:tcPr>
                  <w:p>
                    <w:pPr>
                      <w:spacing w:after="160"/>
                    </w:pPr>
                    <w:r>
                      <w:t xml:space="preserve">2017</w:t>
                    </w:r>
                  </w:p>
                </w:tc>
                <w:tc>
                  <w:tcPr>
                    <w:tcW w:w="2280" w:type="auto"/>
                    <w:tcBorders>
                      <w:top w:val="none" w:color="000000" w:sz="0"/>
                      <w:left w:val="none" w:color="000000" w:sz="0"/>
                      <w:bottom w:val="single" w:color="E6E6E6" w:sz="4"/>
                      <w:right w:val="single" w:color="E6E6E6" w:sz="4"/>
                    </w:tcBorders>
                    <w:tcMar>
                      <w:left w:w="70" w:type="dxa"/>
                      <w:right w:w="70" w:type="dxa"/>
                    </w:tcMar>
                    <w:vAlign w:val="center"/>
                  </w:tcPr>
                  <w:p>
                    <w:pPr>
                      <w:spacing w:after="160"/>
                    </w:pPr>
                    <w:r>
                      <w:t xml:space="preserve">104 familier</w:t>
                    </w:r>
                  </w:p>
                </w:tc>
                <w:tc>
                  <w:tcPr>
                    <w:tcW w:w="2120" w:type="auto"/>
                    <w:tcBorders>
                      <w:top w:val="none" w:color="000000" w:sz="0"/>
                      <w:left w:val="none" w:color="000000" w:sz="0"/>
                      <w:bottom w:val="single" w:color="E6E6E6" w:sz="4"/>
                      <w:right w:val="single" w:color="E6E6E6" w:sz="4"/>
                    </w:tcBorders>
                    <w:tcMar>
                      <w:left w:w="70" w:type="dxa"/>
                      <w:right w:w="70" w:type="dxa"/>
                    </w:tcMar>
                    <w:vAlign w:val="center"/>
                  </w:tcPr>
                  <w:p>
                    <w:pPr>
                      <w:jc w:val="right"/>
                      <w:spacing w:after="160"/>
                    </w:pPr>
                    <w:r>
                      <w:t xml:space="preserve">kr 193 000</w:t>
                    </w:r>
                  </w:p>
                </w:tc>
              </w:tr>
              <w:tr>
                <w:trPr>
                  <w:trHeight w:val="348" w:hRule="atLeast"/>
                </w:trPr>
                <w:tc>
                  <w:tcPr>
                    <w:tcW w:w="1240" w:type="auto"/>
                    <w:tcBorders>
                      <w:top w:val="none" w:color="000000" w:sz="0"/>
                      <w:left w:val="single" w:color="000000" w:sz="0"/>
                      <w:bottom w:val="single" w:color="000000" w:sz="0"/>
                      <w:right w:val="single" w:color="000000" w:sz="0"/>
                    </w:tcBorders>
                    <w:tcMar>
                      <w:left w:w="70" w:type="dxa"/>
                      <w:right w:w="70" w:type="dxa"/>
                    </w:tcMar>
                    <w:vAlign w:val="center"/>
                  </w:tcPr>
                  <w:p>
                    <w:pPr>
                      <w:spacing w:after="160"/>
                    </w:pPr>
                    <w:r>
                      <w:t xml:space="preserve">2018</w:t>
                    </w:r>
                  </w:p>
                </w:tc>
                <w:tc>
                  <w:tcPr>
                    <w:tcW w:w="2280" w:type="auto"/>
                    <w:tcBorders>
                      <w:top w:val="none" w:color="000000" w:sz="0"/>
                      <w:left w:val="none" w:color="000000" w:sz="0"/>
                      <w:bottom w:val="single" w:color="E6E6E6" w:sz="4"/>
                      <w:right w:val="single" w:color="E6E6E6" w:sz="4"/>
                    </w:tcBorders>
                    <w:tcMar>
                      <w:left w:w="70" w:type="dxa"/>
                      <w:right w:w="70" w:type="dxa"/>
                    </w:tcMar>
                    <w:vAlign w:val="center"/>
                  </w:tcPr>
                  <w:p>
                    <w:pPr>
                      <w:spacing w:after="160"/>
                    </w:pPr>
                    <w:r>
                      <w:t xml:space="preserve">117 familier</w:t>
                    </w:r>
                  </w:p>
                </w:tc>
                <w:tc>
                  <w:tcPr>
                    <w:tcW w:w="2120" w:type="auto"/>
                    <w:tcBorders>
                      <w:top w:val="none" w:color="000000" w:sz="0"/>
                      <w:left w:val="none" w:color="000000" w:sz="0"/>
                      <w:bottom w:val="single" w:color="E6E6E6" w:sz="4"/>
                      <w:right w:val="single" w:color="E6E6E6" w:sz="4"/>
                    </w:tcBorders>
                    <w:tcMar>
                      <w:left w:w="70" w:type="dxa"/>
                      <w:right w:w="70" w:type="dxa"/>
                    </w:tcMar>
                    <w:vAlign w:val="center"/>
                  </w:tcPr>
                  <w:p>
                    <w:pPr>
                      <w:jc w:val="right"/>
                      <w:spacing w:after="160"/>
                    </w:pPr>
                    <w:r>
                      <w:t xml:space="preserve">kr 221 000</w:t>
                    </w:r>
                  </w:p>
                </w:tc>
              </w:tr>
              <w:tr>
                <w:trPr>
                  <w:trHeight w:val="348" w:hRule="atLeast"/>
                </w:trPr>
                <w:tc>
                  <w:tcPr>
                    <w:tcW w:w="1240" w:type="auto"/>
                    <w:tcBorders>
                      <w:top w:val="none" w:color="000000" w:sz="0"/>
                      <w:left w:val="single" w:color="000000" w:sz="0"/>
                      <w:bottom w:val="single" w:color="000000" w:sz="0"/>
                      <w:right w:val="single" w:color="000000" w:sz="0"/>
                    </w:tcBorders>
                    <w:tcMar>
                      <w:left w:w="70" w:type="dxa"/>
                      <w:right w:w="70" w:type="dxa"/>
                    </w:tcMar>
                    <w:vAlign w:val="center"/>
                  </w:tcPr>
                  <w:p>
                    <w:pPr>
                      <w:spacing w:after="160"/>
                    </w:pPr>
                    <w:r>
                      <w:t xml:space="preserve">2019</w:t>
                    </w:r>
                  </w:p>
                </w:tc>
                <w:tc>
                  <w:tcPr>
                    <w:tcW w:w="2280" w:type="auto"/>
                    <w:tcBorders>
                      <w:top w:val="none" w:color="000000" w:sz="0"/>
                      <w:left w:val="none" w:color="000000" w:sz="0"/>
                      <w:bottom w:val="single" w:color="E6E6E6" w:sz="4"/>
                      <w:right w:val="single" w:color="E6E6E6" w:sz="4"/>
                    </w:tcBorders>
                    <w:tcMar>
                      <w:left w:w="70" w:type="dxa"/>
                      <w:right w:w="70" w:type="dxa"/>
                    </w:tcMar>
                    <w:vAlign w:val="center"/>
                  </w:tcPr>
                  <w:p>
                    <w:pPr>
                      <w:spacing w:after="160"/>
                    </w:pPr>
                    <w:r>
                      <w:t xml:space="preserve">280 familier</w:t>
                    </w:r>
                  </w:p>
                </w:tc>
                <w:tc>
                  <w:tcPr>
                    <w:tcW w:w="2120" w:type="auto"/>
                    <w:tcBorders>
                      <w:top w:val="none" w:color="000000" w:sz="0"/>
                      <w:left w:val="none" w:color="000000" w:sz="0"/>
                      <w:bottom w:val="single" w:color="E6E6E6" w:sz="4"/>
                      <w:right w:val="single" w:color="E6E6E6" w:sz="4"/>
                    </w:tcBorders>
                    <w:tcMar>
                      <w:left w:w="70" w:type="dxa"/>
                      <w:right w:w="70" w:type="dxa"/>
                    </w:tcMar>
                    <w:vAlign w:val="center"/>
                  </w:tcPr>
                  <w:p>
                    <w:pPr>
                      <w:jc w:val="right"/>
                      <w:spacing w:after="160"/>
                    </w:pPr>
                    <w:r>
                      <w:t xml:space="preserve">kr 504 000</w:t>
                    </w:r>
                  </w:p>
                </w:tc>
              </w:tr>
            </w:tbl>
            <w:p>
              <w:pPr>
                <w:spacing w:after="160"/>
              </w:pPr>
              <w:r>
                <w:t xml:space="preserve"> </w:t>
              </w:r>
            </w:p>
            <w:p>
              <w:pPr>
                <w:spacing w:after="160"/>
              </w:pPr>
              <w:r>
                <w:t xml:space="preserve">Omfanget av hvor mange som vil komme til å søke når ordningen innføres på nytt er vanskelig å anslå.  Dersom 500 familier innvilges støtte, vil det medføre en samlet kostnad på anslagsvis kr 1,08 mill.</w:t>
              </w:r>
            </w:p>
            <w:p>
              <w:pPr>
                <w:spacing w:after="160"/>
              </w:pPr>
              <w:r>
                <w:rPr>
                  <w:b/>
                </w:rPr>
                <w:t xml:space="preserve"> </w:t>
              </w:r>
              <w:r>
                <w:t xml:space="preserve">For å sikre at ordningen når målgruppen, skal kommunen benytte både generelle og målrettede informasjonskanaler. Ordningen gjøres tydelig tilgjengelig på Skien kommune sine hjemmesider, og det utarbeides et digitalt søknadsskjema. Servicesenteret gis ansvar for veiledning og saksbehandling, og relevante kommunale tjenester informeres om ordningen. Det legges også opp til aktiv informasjon via barnehager, skoler, NAV og kommunens digitale kanaler. Informasjon skal gis i et klart og forståelig språk, og søknadsfristen skal tydelig kommuniseres.</w:t>
              </w:r>
            </w:p>
            <w:p>
              <w:pPr>
                <w:spacing w:after="160"/>
              </w:pPr>
              <w:r>
                <w:t xml:space="preserve">For å sikre at ordningen når målgruppen, er det utarbeidet en egen informasjonsplan som beskriver kanaler, ansvar og tiltak for informasjon til innbyggerne, jf. vedlegg «Informasjonsplan for kompensasjonsordning for bomutgifter».</w:t>
              </w:r>
            </w:p>
            <w:p>
              <w:pPr>
                <w:spacing w:after="160"/>
              </w:pPr>
              <w:r>
                <w:t xml:space="preserve">·       Målgruppen er husholdninger med barn og unge i alderen 1-18 år</w:t>
              </w:r>
            </w:p>
            <w:p>
              <w:pPr>
                <w:spacing w:after="160"/>
              </w:pPr>
              <w:r>
                <w:t xml:space="preserve">·       Husholdningens inntekt må være under 4 G, definisjon av inntekt og hvem i husholdningen som kan motta støtte defineres på samme måte som foreldrebetalingen i barnehage</w:t>
              </w:r>
            </w:p>
            <w:p>
              <w:pPr>
                <w:spacing w:after="160"/>
              </w:pPr>
              <w:r>
                <w:t xml:space="preserve">·       Det er et krav av familien eier eller leier bil privat.</w:t>
              </w:r>
            </w:p>
            <w:p>
              <w:pPr>
                <w:spacing w:after="160"/>
              </w:pPr>
              <w:r>
                <w:t xml:space="preserve">·       Støtten gis med et beløp per husholdning og settes til 100 ganger rushtidsavgift med bombrikke.</w:t>
              </w:r>
            </w:p>
            <w:p>
              <w:pPr>
                <w:spacing w:after="160"/>
              </w:pPr>
              <w:r>
                <w:t xml:space="preserve">·       Søker må levere dokumentasjon som beskrives i søknadsskjema. Søknader som mangler nødvendig dokumentasjon når søknadsfristen utløper vil ikke bli behandlet.</w:t>
              </w:r>
            </w:p>
            <w:p>
              <w:pPr>
                <w:spacing w:after="160"/>
              </w:pPr>
              <w:r>
                <w:t xml:space="preserve">·       Støtten må søkes på innen fastsatt frist, støtten utbetales i januar 2027.  Det må søkes på nytt hvert år.</w:t>
              </w:r>
            </w:p>
            <w:p>
              <w:pPr>
                <w:spacing w:after="160"/>
              </w:pPr>
              <w:r>
                <w:t xml:space="preserve"> </w:t>
              </w:r>
            </w:p>
            <w:p>
              <w:pPr>
                <w:spacing w:after="160"/>
              </w:pPr>
              <w:r>
                <w:rPr>
                  <w:b/>
                </w:rPr>
                <w:t xml:space="preserve"> Effekten av saken</w:t>
              </w:r>
            </w:p>
            <w:p>
              <w:pPr>
                <w:spacing w:after="160"/>
              </w:pPr>
              <w:r>
                <w:t xml:space="preserve">Effekter av saken vurdert ut fra noen utvalgte hensyn</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t xml:space="preserve">Konsekvens klima og miljø: kan medføre økt bilkjøring fordi en subsidierer bompasseringer. Omfanget er usikkert og kan være marginalt.</w:t>
              </w:r>
            </w:p>
            <w:p>
              <w:pPr>
                <w:spacing w:after="160"/>
              </w:pPr>
              <w:r>
                <w:t xml:space="preserve">Konsekvens for folkehelse: Subsidiering av utgifter til bompasseringer til barnefamilier kan medføre at flere barn og unge deltar på aktiviteter og tilbud, sosial inkludering og forebygging av utenforskap.</w:t>
              </w:r>
            </w:p>
            <w:p>
              <w:pPr>
                <w:spacing w:after="160"/>
              </w:pPr>
              <w:r>
                <w:t xml:space="preserve">Når det gjelder innføring av selve ordningen, har denne nøytrale effekter, og videre detaljer om de ulike perspektivene går en ikke detaljert inn på.</w:t>
              </w:r>
            </w:p>
            <w:p>
              <w:pPr>
                <w:spacing w:after="160"/>
              </w:pPr>
              <w:r>
                <w:t xml:space="preserve"> </w:t>
              </w:r>
            </w:p>
            <w:p>
              <w:pPr>
                <w:spacing w:after="160"/>
              </w:pPr>
              <w:r>
                <w:rPr>
                  <w:b/>
                </w:rPr>
                <w:t xml:space="preserve">Kommunedirektøren vurdering og konklusjon</w:t>
              </w:r>
            </w:p>
            <w:p>
              <w:pPr>
                <w:spacing w:after="160"/>
              </w:pPr>
              <w:r>
                <w:t xml:space="preserve">Kommunedirektøren vurderer at en søkbar kompensasjonsordning for bomutgifter er et viktig tiltak i forbindelse med Bypakke Grenland fase 2. Ordningen bidrar til å redusere økonomiske belastninger for husholdninger med lav betalingsevne og til å sikre at barn og unge fortsatt kan delta i skole-, barnehage- og fritidsaktiviteter.</w:t>
              </w:r>
            </w:p>
            <w:p>
              <w:pPr>
                <w:spacing w:after="160"/>
              </w:pPr>
              <w:r>
                <w:t xml:space="preserve">Kriterier som innebærer skjønn, tolkninger og vurderinger bør i størst mulig grad unngås av hensyn til at det vil kreve store saksbehandlingsressurser.</w:t>
              </w:r>
            </w:p>
            <w:p>
              <w:pPr>
                <w:spacing w:after="160"/>
              </w:pPr>
              <w:r>
                <w:t xml:space="preserve">Ved å benytte et digitalt søknadsskjema og samle saksbehandlingsansvaret hos Servicesenteret legges det til rette for en ordning som er både brukervennlig, forutsigbar og administrativ håndterbar.</w:t>
              </w:r>
            </w:p>
            <w:p>
              <w:pPr>
                <w:spacing w:after="160"/>
              </w:pPr>
              <w:r>
                <w:t xml:space="preserve">Kommunedirektøren anbefaler at kompensasjonsordningen etableres i tråd med foreslåtte kriterier, organisering og søknadsfrist.</w:t>
              </w:r>
              <w:r>
                <w:br/>
              </w:r>
              <w:r>
                <w:t xml:space="preserve"> </w:t>
              </w:r>
            </w:p>
            <w:p>
              <w:pPr>
                <w:spacing w:after="160"/>
              </w:pPr>
              <w:r>
                <w:t xml:space="preserve">Vedlegg:</w:t>
              </w:r>
            </w:p>
            <w:p>
              <w:pPr>
                <w:spacing w:after="160"/>
              </w:pPr>
              <w:r>
                <w:t xml:space="preserve">Informasjonsplan for kompensasjonsordning for bomutgifter</w:t>
              </w:r>
              <w:r>
                <w:br/>
              </w: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Informasjonsplan for kompensasjonsordning for bomutgifter</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ae0683f2877442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Kompensasjonsordning for bomutgifter – Bypakke Grenland fase 2</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