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23/48955</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73</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Sigbjørn Hjelset</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05.02.2026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18/26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Kommunedelplan for naturmangfold - Sluttbehandling</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Kommunedelplan for naturmangfold, med kunnskapsgrunnlag datert 01.09.25 og handlingsdel datert 16.03.26, vedtas med hjemmel i plan- og bygningsloven § 11-15.</w:t>
              </w:r>
            </w:p>
          </w:sdtContent>
        </w:sdt>
        <w:p w:rsidRPr="00853B6B" w:rsidR="00B33565" w:rsidP="003E7097" w:rsidRDefault="00B33565" w14:paraId="5EB3ECBF" w14:textId="77777777"/>
        <w:sdt>
          <w:sdtPr>
            <w:alias w:val="IngressTekst"/>
            <w:tag w:val="IngressTekst"/>
            <w:id w:val="-456796318"/>
          </w:sdtPr>
          <w:sdtEndPr/>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SAKSFRAMSTILLING</w:t>
              </w:r>
            </w:p>
            <w:p>
              <w:pPr>
                <w:spacing w:after="160"/>
              </w:pPr>
              <w:r>
                <w:rPr>
                  <w:b/>
                </w:rPr>
                <w:t xml:space="preserve">Bakgrunn for saken</w:t>
              </w:r>
              <w:r>
                <w:br/>
              </w:r>
              <w:r>
                <w:t xml:space="preserve">Saken gjelder sluttbehandling av kommunedelplan for naturmangfold. Saken går via utvalg for teknisk sektor og Formannskap, før Bystyret gjør endelig vedtak.</w:t>
              </w:r>
            </w:p>
            <w:p>
              <w:pPr>
                <w:spacing w:after="160"/>
              </w:pPr>
              <w:r>
                <w:rPr>
                  <w:b/>
                </w:rPr>
                <w:t xml:space="preserve">Planbeskrivelse</w:t>
              </w:r>
              <w:r>
                <w:br/>
              </w:r>
              <w:r>
                <w:t xml:space="preserve">Kommunedelplan for naturmangfold er en tematisk kommunedelplan for hvordan Skien kommune skal følge opp sin del av naturavtalens mål om ivaretakelse av arter og økosystemer. Kommunedelplanen består av et kunnskapsgrunnlag (vedlegg 1), som gir en samlet oversikt over naturmangfoldet i kommunen, samt en handlingsdel (vedlegg 2) som definerer hvilke tiltak kommunen skal jobbe med i perioden 2026 - 2029. </w:t>
              </w:r>
            </w:p>
            <w:p>
              <w:pPr>
                <w:spacing w:after="160"/>
              </w:pPr>
              <w:r>
                <w:rPr>
                  <w:b/>
                </w:rPr>
                <w:t xml:space="preserve">Tidligere politisk behandling</w:t>
              </w:r>
              <w:r>
                <w:br/>
              </w:r>
              <w:r>
                <w:t xml:space="preserve">Planforslaget ble 1. gangs behandlet i UTS  26.11.25, sak 64/25 og i Formannskapet den 02.12.25, sak 88/25. Det ble fattet følgende vedtak:</w:t>
              </w:r>
            </w:p>
            <w:p>
              <w:pPr>
                <w:spacing w:after="160"/>
              </w:pPr>
              <w:r>
                <w:rPr>
                  <w:i/>
                </w:rPr>
                <w:t xml:space="preserve">Kommunedelplan for naturmangfold legges ut til høring og offentlig ettersyn i henhold til plan og bygningsloven § 11-14. Administrasjonen gis fullmakt til å gjøre redaksjonelle endringer før saken legges ut til offentlig ettersyn.</w:t>
              </w:r>
            </w:p>
            <w:p>
              <w:pPr>
                <w:spacing w:after="160"/>
              </w:pPr>
              <w:r>
                <w:rPr>
                  <w:b/>
                </w:rPr>
                <w:t xml:space="preserve">Endringer etter høringsperioden</w:t>
              </w:r>
              <w:r>
                <w:br/>
              </w:r>
              <w:r>
                <w:t xml:space="preserve">Foreslått tiltak "utrede meldeplikt for hogst i kalkskog" tas ut av handlingsplanen for perioden 2026-2029. </w:t>
              </w:r>
            </w:p>
            <w:p>
              <w:pPr>
                <w:spacing w:after="160"/>
              </w:pPr>
              <w:r>
                <w:rPr>
                  <w:b/>
                </w:rPr>
                <w:t xml:space="preserve">Medvirkning</w:t>
              </w:r>
              <w:r>
                <w:t xml:space="preserve"> </w:t>
              </w:r>
              <w:r>
                <w:br/>
              </w:r>
              <w:r>
                <w:t xml:space="preserve">Saken ble sendt på høring og lagt ut til offentlig ettersyn den 13.12.2025 med frist for uttalelse den 06.02.2026. Det er mottatt 31 uttalelser i saken. Uttalelsene ligger i sin helhet som vedlegg 3, og i vedlegg 4 har kommunedirektøren kommentert hvordan uttalelsene er fulgt opp i planarbeidet.</w:t>
              </w:r>
              <w:r>
                <w:br/>
              </w:r>
              <w:r>
                <w:br/>
              </w:r>
              <w:r>
                <w:t xml:space="preserve">Noen hovedtrekk: </w:t>
              </w:r>
              <w:r>
                <w:br/>
              </w:r>
              <w:r>
                <w:t xml:space="preserve">8 høringsinstanser, skogbruks- og landbruksorganisasjoner, mener tiltaket om meldeplikt på hogst i kalkskog må tas ut av handlingsdelen. </w:t>
              </w:r>
              <w:r>
                <w:br/>
              </w:r>
              <w:r>
                <w:t xml:space="preserve">Statsforvalteren skulle gjerne sett at planen i større grad forplikter på ansvarsområder der kommunen har stor mulighet til å bidra. Kommunen kan gjennom sine arealplaner hindre at naturområder blir fragmentert, og kommunen som organisasjon kan sørge for at beslutninger om arealbruk blir gjort med tilstrekkelig kunnskap om naturmangfold. </w:t>
              </w:r>
              <w:r>
                <w:br/>
              </w:r>
              <w:r>
                <w:t xml:space="preserve">Birdlife Telemark ønsker at handlingsdelen enda mer følger opp anbefalinger fra kunnskapsgrunnlaget, et eksempel blant mange er at det må gjøres "planvask" i utbyggingsområder innenfor kalkområder, myr og annen sårbar natur.</w:t>
              </w:r>
              <w:r>
                <w:br/>
              </w:r>
              <w:r>
                <w:t xml:space="preserve">Generelt sett er høringsinstansene positiv til planarbeidet som gjøres.</w:t>
              </w:r>
            </w:p>
            <w:p>
              <w:pPr>
                <w:spacing w:after="160"/>
              </w:pPr>
              <w:r>
                <w:rPr>
                  <w:b/>
                </w:rPr>
                <w:t xml:space="preserve">Effekten av saken</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t xml:space="preserve">Planen foreslår en rekke tiltak som vil være positivt for både klima og miljø, derav vurderes også konsekvensen som positiv for folkehelsen.</w:t>
              </w:r>
              <w:r>
                <w:br/>
              </w:r>
              <w:r>
                <w:br/>
              </w:r>
              <w:r>
                <w:t xml:space="preserve">Økonomiske konsekvenser settes som negativ, fordi handlingsplanen innebærer budsjettmessige konsekvenser. For å få gjennomført tiltakene med framdriften som er beskrevet i handlingsplanen, forutsettes at det bevilges midler over kommunens budsjett og / eller at tiltak finansieres via eksterne støtteordninger. Tiltak som er tenkt finansiert med egne budsjetter, er tiltak som allerede gjennomføres av enhetene i kommunen i dag. De er satt opp i handlingsdelen for å få dem forankret i kommunens planverk. I de tilfellende hvor det er nye tiltak som ikke gjennomføres i dag, men allikevel er tenkt gjennomført over eksisterende budsjett, er dette avklart med leder for den ansvarlige enheten. Dette gjelder tiltak for samtlige innsatsområder.</w:t>
              </w:r>
            </w:p>
            <w:p>
              <w:pPr>
                <w:spacing w:after="160"/>
              </w:pPr>
              <w:r>
                <w:rPr>
                  <w:b/>
                </w:rPr>
                <w:t xml:space="preserve">Kommunedirektørens vurdering </w:t>
              </w:r>
              <w:r>
                <w:br/>
              </w:r>
              <w:r>
                <w:t xml:space="preserve">Høringsuttalelsene er i stor grad utdyping eller presiseringer til allerede foreslåtte tiltak. Høringsinnspillene bekrefter at Skien kommune har vektlagt riktige satsingsområder i kommunedelplanen. Siden det ikke har kommet fram nye forslag til tiltak er ikke handlingsdelen, med ett unntak som nevnt i neste avsnitt, endret fra forslaget som ble lagt ut til offentlig ettersyn. Innspillene vil likevel bli brukt i det videre arbeidet med å følge opp de ulike tiltakene. For eksempel Statsforvalterens innspill om hvor stor rolle kommunens arealforvaltning har for naturmangfoldet, samt spesifikke innspill fra de frivillige organisasjonene.</w:t>
              </w:r>
            </w:p>
            <w:p>
              <w:pPr>
                <w:spacing w:after="160"/>
              </w:pPr>
              <w:r>
                <w:t xml:space="preserve">Den eneste endringen er at forslaget om å utrede meldeplikt for hogst i kalkområder er tatt ut av handlingsdelen datert 16.03.25, som nå legges fram for sluttbehandling. Basert på høringsinnspillene vurderes dette temaet ikke å være modent for videre utredning i 4-årsperioden.  Mange av høringsuttalelsene peker på at de 30 kravpunktene i </w:t>
              </w:r>
              <w:hyperlink w:history="true" r:id="R3eb32c1b9fe14224">
                <w:r>
                  <w:rPr>
                    <w:rStyle w:val="Hyperlink"/>
                  </w:rPr>
                  <w:t xml:space="preserve">NORSK PEFC SKOGSTANDARD</w:t>
                </w:r>
              </w:hyperlink>
              <w:r>
                <w:t xml:space="preserve">, som favner et bredt spekter av flerbrukshensyn i skogbruket, sikrer kommunedelplan for naturmangfold sine målsettinger på en god måte. Herunder kravpunkt nummer 10 "åpenhet om miljøinformasjon". En viktig årsak til at kommunedirektøren foreslår å ta ut punktet om meldeplikt er at et godt samarbeid basert på tillit mellom kommune og skognæring er en avgjørende faktor for å nå andre målsettinger både om restaurering av natur og om vern, begge basert på frivillighet.</w:t>
              </w:r>
            </w:p>
            <w:p>
              <w:pPr>
                <w:spacing w:after="160"/>
              </w:pPr>
              <w:r>
                <w:rPr>
                  <w:b/>
                </w:rPr>
                <w:t xml:space="preserve">Kommunedirektørens konklusjon</w:t>
              </w:r>
              <w:r>
                <w:br/>
              </w:r>
              <w:r>
                <w:t xml:space="preserve">Handlingsdelen datert 16.03.26 er justert etter høringsrunden, og foreslås vedtatt slik den foreligger.</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 kunnskapsgrunnlag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 handlingsdel</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 merknader sammenslått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4 - oppsummering og kommentarer til innspill</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hyperlink" Target="https://cdn.pefc.org/pefc.no/media/2023-04/191010dd-81a3-41ec-9aeb-76a67effda24/b877f9c0-47fa-5a50-b9ab-b82536994907.pdf" TargetMode="External" Id="R3eb32c1b9fe142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Kommunedelplan for naturmangfold - Sluttbehandling</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