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26/7981</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Jorid Heie Sætre</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25.03.2026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20/26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teknisk sektor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14.04.2026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Årsrapport 2025 for tilsyn og ulovlighetsoppfølging i byggesaker</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Årsrapport 2025 Tilsyn og ulovlighetsoppfølging tas til orientering.</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p>
            <w:p>
              <w:pPr>
                <w:spacing w:after="160"/>
              </w:pPr>
              <w:r>
                <w:t xml:space="preserve">Utvalget for teknisk sektor vedtok en tilsyn- og ulovlighetsstrategi for 2025-2026 i sak 21/25 i utvalgsmøte 1. april 2025. Denne strategien er ment å være et tydelig styringsdokument for arbeidet med tilsyn og ulovligheter i byggesaker, og et verktøy for å prioritere innsatsområder. </w:t>
              </w:r>
            </w:p>
            <w:p>
              <w:pPr>
                <w:spacing w:after="160"/>
              </w:pPr>
              <w:r>
                <w:t xml:space="preserve">Kommunen utarbeider en årlig rapport som er en oversikt over kommunens aktivitet på området i året som har gått. Det er hensiktsmessig at rapporten legges fram for utvalget, da arbeidet med dette saksfeltet er forankret i den politisk vedtatte strategien.</w:t>
              </w:r>
            </w:p>
            <w:p>
              <w:pPr>
                <w:spacing w:after="160"/>
              </w:pPr>
              <w:r>
                <w:t xml:space="preserve"> </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p>
            <w:p>
              <w:pPr>
                <w:spacing w:after="160"/>
              </w:pPr>
              <w:r>
                <w:rPr>
                  <w:u w:val="single"/>
                </w:rPr>
                <w:t xml:space="preserve">Innledning</w:t>
              </w:r>
            </w:p>
            <w:p>
              <w:pPr>
                <w:spacing w:after="160"/>
              </w:pPr>
              <w:r>
                <w:t xml:space="preserve">Denne saksframstillingen gir en kortversjon av årsrapporten for 2025. Det henvises til vedlegg for fullversjon av rapporten.</w:t>
              </w:r>
            </w:p>
            <w:p>
              <w:pPr>
                <w:spacing w:after="160"/>
              </w:pPr>
              <w:r>
                <w:t xml:space="preserve"> </w:t>
              </w:r>
            </w:p>
            <w:p>
              <w:pPr>
                <w:spacing w:after="160"/>
              </w:pPr>
              <w:r>
                <w:rPr>
                  <w:u w:val="single"/>
                </w:rPr>
                <w:t xml:space="preserve">Tilsyn og ulovlighetsoppfølging</w:t>
              </w:r>
            </w:p>
            <w:p>
              <w:pPr>
                <w:spacing w:after="160"/>
              </w:pPr>
              <w:r>
                <w:t xml:space="preserve">Kommunen har plikt til å føre tilsyn i byggesaker med om tiltaket gjennomføres i samsvar med gitte tillatelser og gjeldende bestemmelser, samt at ansvarlige foretak er kvalifisert. Tilsynsplikten følger av plan- og bygningsloven (pbl.) § 25-1 og er nærmere presisert i § 25-2. Kommunen skal føre tilsyn i et slikt omfang at den kan avdekke regelbrudd. Det kan også føres tilsyn med eksisterende byggverk og arealer, jf. pbl. § 25-4. </w:t>
              </w:r>
            </w:p>
            <w:p>
              <w:pPr>
                <w:spacing w:after="160"/>
              </w:pPr>
              <w:r>
                <w:t xml:space="preserve">Bestemmelsene om tilsyn må ofte ses i sammenheng med pbl. kap. 32 som omhandler ulovlighetsoppfølging. Plan- og bygningslovens § 32-1 første ledd slår fast at kommunen har en plikt til å forfølge overtredelser av bestemmelser gitt i eller i medhold av pbl., herunder arealplaner, tillatelser og dispensasjoner. Hensikten vil være å sikre at plan- og bygningslovgivningen følges i kommunen, ved at det ulovlige forholdet/tiltaket blir i samsvar med gjeldende regelverk. Dette skal sikre etterlevelse og respekt for regelverket, herunder også tillit til forvaltningen. </w:t>
              </w:r>
            </w:p>
            <w:p>
              <w:pPr>
                <w:spacing w:after="160"/>
              </w:pPr>
              <w:r>
                <w:t xml:space="preserve">Strategi for tilsyn og ulovlighetsoppfølging 2025 - 2026 brukes aktivt for som grunnlag for prioritering av innsatsområder. Tilsynssaker som berører sikkerhet mot naturfarer, lovligheten ved etablering av hybler eller boenheter og saker som potensielt kan medføre fare for liv og helse prioriteres. Ved ulovlighetsoppfølging er det saker som medfører fare for liv og helse, fare for forringelse av verneverdig bebyggelse, eller forringelse av miljøkvaliteter i strandsonen/LNFR-områder som har høyest prioritet.</w:t>
              </w:r>
            </w:p>
            <w:p>
              <w:pPr>
                <w:spacing w:after="160"/>
              </w:pPr>
              <w:r>
                <w:t xml:space="preserve"> </w:t>
              </w:r>
            </w:p>
            <w:p>
              <w:pPr>
                <w:spacing w:after="160"/>
              </w:pPr>
              <w:r>
                <w:rPr>
                  <w:u w:val="single"/>
                </w:rPr>
                <w:t xml:space="preserve">Organisering av arbeidet</w:t>
              </w:r>
            </w:p>
            <w:p>
              <w:pPr>
                <w:spacing w:after="160"/>
              </w:pPr>
              <w:r>
                <w:t xml:space="preserve">Det er opprettet et eget team på byggesak som jobber med tilsyn og ulovligheter. Teamet har teknisk og juridisk kompetanse, og følges tett av enhetsleder. </w:t>
              </w:r>
            </w:p>
            <w:p>
              <w:pPr>
                <w:spacing w:after="160"/>
              </w:pPr>
              <w:r>
                <w:t xml:space="preserve">Det er ansatt en ny ressurs som fagansvarlig for tilsyn fra 1. april 2025 i 100 % stilling. En juridisk rådgiver har hatt hovedansvaret for ulovlighetssaker siden 1. mai 2024 i 100 % stilling. I tillegg jobber en juridisk rådgiver og en byggesaksbehandler med enkeltsaker knyttet til dette saksfeltet tilsvarende ca. 0,2 årsverk. Det betyr at byggesak har satt av ca. 2,2 årsverk til tilsyn og ulovlighetssaker. Det avholdes jevnlige statusmøter i teamet hvor enhetsleder deltar.</w:t>
              </w:r>
            </w:p>
            <w:p>
              <w:pPr>
                <w:spacing w:after="160"/>
              </w:pPr>
              <w:r>
                <w:t xml:space="preserve">I 2025 har det vært permisjoner knyttet til stillingen som ansvarlig for ulovlighetssaker, samt at tilsynsstillingen ikke har vært besatt gjennom hele året. Det har hatt betydning for ressurstilgangen til dette saksområdet.</w:t>
              </w:r>
            </w:p>
            <w:p>
              <w:pPr>
                <w:spacing w:after="160"/>
              </w:pPr>
              <w:r>
                <w:t xml:space="preserve">Kommunen har endret rutiner ved mottak av tips, journalføring av tilsynsrapporter og saksbehandlingen i ulovlighetsoppfølgingen, slik at sakene ikke lenger er unntatt offentlighet. Det har ført til at teamets arbeid har vært mer synlig i media. Kommunen mener det er positivt at tilsyn- og ulovlighetssakene får større oppmerksomhet, og at dette forhåpentligvis medfører en økt forståelse blant innbyggerne om viktigheten av å overholde regelverket.</w:t>
              </w:r>
            </w:p>
            <w:p>
              <w:pPr>
                <w:jc w:val="both"/>
                <w:spacing w:after="160"/>
              </w:pPr>
              <w:r>
                <w:t xml:space="preserve"> </w:t>
              </w:r>
            </w:p>
            <w:p>
              <w:pPr>
                <w:jc w:val="both"/>
                <w:spacing w:after="160"/>
              </w:pPr>
              <w:r>
                <w:rPr>
                  <w:u w:val="single"/>
                </w:rPr>
                <w:t xml:space="preserve">Samhandling med andre kommuner og eksterne aktører</w:t>
              </w:r>
            </w:p>
            <w:p>
              <w:pPr>
                <w:spacing w:after="160"/>
              </w:pPr>
              <w:r>
                <w:t xml:space="preserve">Teamet deltar i følgende fagsamarbeid på tvers av kommuner:</w:t>
              </w:r>
            </w:p>
            <w:p>
              <w:pPr>
                <w:pStyle w:val="ListParagraph"/>
                <w:numPr>
                  <w:ilvl w:val="0"/>
                  <w:numId w:val="1"/>
                </w:numPr>
                <w:spacing w:after="160"/>
              </w:pPr>
              <w:r>
                <w:t xml:space="preserve">Fagutvalg for tilsyn og ulovlighetsoppfølging med Porsgrunn kommune, jfr. samarbeidsavtale</w:t>
              </w:r>
            </w:p>
            <w:p>
              <w:pPr>
                <w:pStyle w:val="ListParagraph"/>
                <w:numPr>
                  <w:ilvl w:val="0"/>
                  <w:numId w:val="1"/>
                </w:numPr>
                <w:spacing w:after="160"/>
              </w:pPr>
              <w:r>
                <w:t xml:space="preserve">Tilsynsgruppa i Grenland med Siljan, Porsgrunn, Bamble, Kragerø og Drangedal. Her har også jurister på ulovlighetsoppfølging anledning til å delta.</w:t>
              </w:r>
            </w:p>
            <w:p>
              <w:pPr>
                <w:spacing w:after="160"/>
              </w:pPr>
              <w:r>
                <w:t xml:space="preserve">Det er gjennomført møte med NAV om samhandling i bostøttesaker, der det trengs avklaring hvorvidt om boligen det søkes støtte til er godkjent som selvstendig boenhet. Kommunen mottar i snitt rundt 15 forespørsler pr. måned, som svares ut av byggesak/tilsynsansvarlig.</w:t>
              </w:r>
            </w:p>
            <w:p>
              <w:pPr>
                <w:spacing w:after="160"/>
              </w:pPr>
              <w:r>
                <w:t xml:space="preserve">Det er også gjennomført møte med Grenland brann og redning (GBR) i regi av samarbeidet med Porsgrunn kommune. Her arbeides det med et avtaleforslag for videre samhandling.</w:t>
              </w:r>
            </w:p>
            <w:p>
              <w:pPr>
                <w:spacing w:after="160"/>
              </w:pPr>
              <w:r>
                <w:t xml:space="preserve">Det er jobbet med felles rutiner for Skien og Porsgrunn slik at kommunene blir bedre samordnet med tanke på at aktørene jobber i hele Grenland. De nye rutinene er nå lagt inn i kommunens kvalitetssikringssystem TQM. I forbindelse med arbeidet har det vært dialog med flere andre kommuner i Norge, herunder Oslo, Bergen, Trondheim og Horten for å søke erfaringer vedrørende enkelte problemstillinger.</w:t>
              </w:r>
            </w:p>
            <w:p>
              <w:pPr>
                <w:jc w:val="both"/>
                <w:spacing w:after="160"/>
              </w:pPr>
              <w:r>
                <w:t xml:space="preserve"> </w:t>
              </w:r>
            </w:p>
            <w:p>
              <w:pPr>
                <w:jc w:val="both"/>
                <w:spacing w:after="160"/>
              </w:pPr>
              <w:r>
                <w:rPr>
                  <w:u w:val="single"/>
                </w:rPr>
                <w:t xml:space="preserve">Status tilsyn</w:t>
              </w:r>
            </w:p>
            <w:p>
              <w:pPr>
                <w:jc w:val="both"/>
                <w:spacing w:after="160"/>
              </w:pPr>
              <w:r>
                <w:t xml:space="preserve">Det er gjennomført 15 tilsyn knyttet til adresser i kommunen i 2025, og samtlige tilsyn er avsluttet med tilsynsrapport. Av disse er 7 saker avsluttet uten avvik, mens de øvrige sakene er videreført til ulovlighetsoppfølging og/eller behandling av innsendte søknader om etterhåndsgodkjenning.</w:t>
              </w:r>
            </w:p>
            <w:p>
              <w:pPr>
                <w:spacing w:after="160"/>
              </w:pPr>
              <w:r>
                <w:t xml:space="preserve">Hver tilsynssak kan omfatte flere temaer ved et stedlig tilsyn. Dette inkluderer for eksempel branntekniske forhold, landskapsplaner og universell utforming (UU), samt kontroll av andre forhold der det er mistanke om ulovligheter. Totalt er det gjennomført 21 tematilsyn innenfor de 15 tilsynssakene nevnt over.</w:t>
              </w:r>
            </w:p>
            <w:p>
              <w:pPr>
                <w:spacing w:after="160"/>
              </w:pPr>
              <w:r>
                <w:t xml:space="preserve">Tilsynsansvarlig arbeider systematisk med en egen oversikt over mulige ulovlige boenheter, herunder hybler og kjellerleiligheter. I 2025 var 4 av tilsynene knyttet til saker fra denne oversikten. I slike saker praktiseres en trinnvis oppfølging der det først sendes anmodning om redegjørelse til eier, med mulighet for å bringe forholdet i orden ved å søke om godkjenning. Flere av sakene har resultert i at det er sendt inn søknad i etterkant av kommunens henvendelse. I saker hvor det ikke mottas tilbakemelding, eller forholdet ikke rettes, gjennomføres tilsyn og saken følges opp videre som ulovlighetssak.</w:t>
              </w:r>
            </w:p>
            <w:p>
              <w:pPr>
                <w:spacing w:after="160"/>
              </w:pPr>
              <w:r>
                <w:t xml:space="preserve"> </w:t>
              </w:r>
            </w:p>
            <w:p>
              <w:pPr>
                <w:spacing w:after="160"/>
              </w:pPr>
              <w:r>
                <w:rPr>
                  <w:u w:val="single"/>
                </w:rPr>
                <w:t xml:space="preserve">Status ulovlighetsoppfølging</w:t>
              </w:r>
            </w:p>
            <w:p>
              <w:pPr>
                <w:jc w:val="both"/>
                <w:spacing w:after="160"/>
              </w:pPr>
              <w:r>
                <w:t xml:space="preserve">Oversikter viser i sum 195 ulovlighetssaker med ulik status pr. i dag. For rapportåret 2024 var summen på rundt 200 saker.</w:t>
              </w:r>
            </w:p>
            <w:p>
              <w:pPr>
                <w:jc w:val="both"/>
                <w:spacing w:after="160"/>
              </w:pPr>
              <w:r>
                <w:t xml:space="preserve">Byggesak har en egen oversikt over mulige avvik knyttet til boenheter (hybler) som er registrert over flere år i forbindelse med besiktigelser ved taksering av eiendommer eller andre kommunale befaringer, samt tips fra NAV. Denne lista er supplert siden i fjor og har økt fra 55 saker til 120 saker. Disse kommer i tillegg til sakene nevnt over. Disse sakene følges opp av tilsynsansvarlig ved ledig kapasitet.</w:t>
              </w:r>
            </w:p>
            <w:p>
              <w:pPr>
                <w:jc w:val="both"/>
                <w:spacing w:after="160"/>
              </w:pPr>
              <w:r>
                <w:t xml:space="preserve">Det er til enhver tid ca. 25 saker i aktiv saksprosess.</w:t>
              </w:r>
            </w:p>
            <w:p>
              <w:pPr>
                <w:jc w:val="both"/>
                <w:spacing w:after="160"/>
              </w:pPr>
              <w:r>
                <w:t xml:space="preserve">Antall saker som er fulgt opp i forbindelse med Rødmyrprosjektet fra 2022 er nå nede i 5 og alle disse er i prosess.</w:t>
              </w:r>
            </w:p>
            <w:p>
              <w:pPr>
                <w:jc w:val="both"/>
                <w:spacing w:after="160"/>
              </w:pPr>
              <w:r>
                <w:t xml:space="preserve">Det er 2 saker hvor det er pågående fakturering av tvangsmulkt. Det er i løpet av året 2025 og fram til og med mars 2026 avsluttet 8 saker.</w:t>
              </w:r>
            </w:p>
            <w:p>
              <w:pPr>
                <w:jc w:val="both"/>
                <w:spacing w:after="160"/>
              </w:pPr>
              <w:r>
                <w:t xml:space="preserve"> </w:t>
              </w:r>
            </w:p>
            <w:p>
              <w:pPr>
                <w:jc w:val="both"/>
                <w:spacing w:after="160"/>
              </w:pPr>
              <w:r>
                <w:rPr>
                  <w:u w:val="single"/>
                </w:rPr>
                <w:t xml:space="preserve">Oppsummering</w:t>
              </w:r>
            </w:p>
            <w:p>
              <w:pPr>
                <w:jc w:val="both"/>
                <w:spacing w:after="160"/>
              </w:pPr>
              <w:r>
                <w:t xml:space="preserve">Til tross for en økende mengde saker har det gjennom samarbeidet med Porsgrunn kommune blitt en kvalitetsheving på saksbehandlingen. Samarbeidet bidrar til et større fagmiljø. Gjennom faglige drøftinger, erfaringsutveksling og utarbeidelse av nye felles rutiner har kommunene fått en bedre faglig forutsetting for dette saksfeltet. Innad i egen kommune har vi fått på plass en mer hensiktsmessig organisering av arbeidet.</w:t>
              </w:r>
            </w:p>
            <w:p>
              <w:pPr>
                <w:jc w:val="both"/>
                <w:spacing w:after="160"/>
              </w:pPr>
              <w:r>
                <w:t xml:space="preserve">For å få ned restansene på innkomne tips og saker til oppfølging, vil vi i inneværende år ta en nøye gjennomgang av saker i listene som har lav prioritet. Vi vil vurdere nærmere om noen av disse sakene kan unnlates oppfølging. Dette gjelder tiltak som er lett reversible og med begrenset konsekvens for omgivelsene, jfr pbl § 32-1 annet ledd:</w:t>
              </w:r>
            </w:p>
            <w:p>
              <w:pPr>
                <w:jc w:val="both"/>
                <w:spacing w:after="160"/>
              </w:pPr>
              <w:r>
                <w:t xml:space="preserve">“</w:t>
              </w:r>
              <w:r>
                <w:rPr>
                  <w:i/>
                </w:rPr>
                <w:t xml:space="preserve">Er overtredelsen av mindre betydning, kan kommunen avstå fra å forfølge ulovligheten. Beslutning om dette er ikke et enkeltvedtak”.</w:t>
              </w:r>
            </w:p>
            <w:p>
              <w:pPr>
                <w:jc w:val="both"/>
                <w:spacing w:after="160"/>
              </w:pPr>
              <w:r>
                <w:t xml:space="preserve">En annen viktig forutsettning i arbeidet er å opprettholde kontinuitet i saksbehandlingen, og antall saker i aktiv prosess må tilpasses ressursene vi har til denne sakstypen.</w:t>
              </w:r>
            </w:p>
            <w:p>
              <w:pPr>
                <w:jc w:val="both"/>
                <w:spacing w:after="160"/>
              </w:pPr>
              <w:r>
                <w:t xml:space="preserve">I 2026 har vi satt oss et mål om å gjennomføre minimum 20 tilsyn knyttet til tiltak på ulike adresser.</w:t>
              </w:r>
            </w:p>
            <w:p>
              <w:pPr>
                <w:jc w:val="both"/>
                <w:spacing w:after="160"/>
              </w:pPr>
              <w:r>
                <w:t xml:space="preserve"> </w:t>
              </w:r>
            </w:p>
            <w:p>
              <w:pPr>
                <w:jc w:val="both"/>
                <w:spacing w:after="160"/>
              </w:pP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br/>
              </w:r>
              <w:r>
                <w:t xml:space="preserve"> </w:t>
              </w:r>
            </w:p>
            <w:p>
              <w:pPr>
                <w:spacing w:after="160"/>
              </w:pPr>
              <w:r>
                <w:rPr>
                  <w:b/>
                </w:rPr>
                <w:t xml:space="preserve">Kommunedirektørens vurdering og konklusjon</w:t>
              </w:r>
            </w:p>
            <w:p>
              <w:pPr>
                <w:spacing w:after="160"/>
              </w:pPr>
              <w:r>
                <w:t xml:space="preserve">Tilgjengelige ressurser på tilsyns- og ulovlighetsområdet tilsier at det ikke er mulig å forfølge alle overtredelser som avdekkes, og det må påregnes lang saksbehandlingstid fra kommunen mottar tips til sakene avsluttes. Kommunen jobber likevel systematisk og målrettet med tilsyn og ulovligheter i byggesaker i tråd med strategien som er vedtatt. Gjennom dette arbeidet er den overordna målsettingen å bidra til å sikre god kvalitet på bygg og at tiltak gjennomføres i tråd med gitte tillatelser og gjeldende bestemmelser. Videre er det viktig å bidra til å skape gode holdninger for byggeskikk og kvalitet i bygg, samt styrke respekten for regelverket. </w:t>
              </w:r>
            </w:p>
            <w:p>
              <w:pPr>
                <w:spacing w:after="160"/>
              </w:pPr>
              <w:r>
                <w:t xml:space="preserve">Kommunedirektøren anbefaler at årsrapporten 2025 for tilsyn og ulovlighetssaker tas til orientering.</w:t>
              </w:r>
            </w:p>
            <w:p>
              <w:pPr>
                <w:spacing w:after="160"/>
              </w:pPr>
              <w:r>
                <w:br/>
              </w:r>
              <w:r>
                <w:rPr>
                  <w:b/>
                </w:rPr>
                <w:t xml:space="preserve">Referanser</w:t>
              </w:r>
            </w:p>
            <w:p>
              <w:pPr>
                <w:pStyle w:val="ListParagraph"/>
                <w:numPr>
                  <w:ilvl w:val="0"/>
                  <w:numId w:val="2"/>
                </w:numPr>
                <w:spacing w:after="160"/>
              </w:pPr>
              <w:r>
                <w:t xml:space="preserve">Plan- og bygningsloven</w:t>
              </w:r>
            </w:p>
            <w:p>
              <w:pPr>
                <w:pStyle w:val="ListParagraph"/>
                <w:numPr>
                  <w:ilvl w:val="0"/>
                  <w:numId w:val="2"/>
                </w:numPr>
                <w:spacing w:after="160"/>
              </w:pPr>
              <w:r>
                <w:t xml:space="preserve">Strategi for tilsyn og ulovlighetsoppfølging 2025-2026, vedtatt av UTS 01.04.2025 i sak 21/25.</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Årsrapport 2025 Skien kommune_Tilsyn og ulovligheter</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0af768b3f6c747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Årsrapport 2025 for tilsyn og ulovlighetsoppfølging i byggesaker</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