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26/5978</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Anne Lene Andersen Watn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05.03.2026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19/26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Formannskapet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24.03.2026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22/26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14.04.2026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17/26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helse og mestring</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15.04.2026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17/26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inkludering, frivillighet og kultur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16.04.2026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15/26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oppvekst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16.04.2026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Reduksjon av lokalt styringstrykk </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sdt>
          <w:sdtPr>
            <w:alias w:val="GjennomførteBehandlinger.Reverser"/>
            <w:tag w:val="GjennomførteBehandlinger.Reverser"/>
            <w:id w:val="910123577"/>
          </w:sdtPr>
          <w:sdtEndPr/>
          <w:sdtContent>
            <w:p w:rsidRPr="00853B6B" w:rsidR="00A45478" w:rsidP="00A45478" w:rsidRDefault="00ED1A5A" w14:paraId="1DC43B1D" w14:textId="77777777">
              <w:sdt>
                <w:sdtPr>
                  <w:rPr>
                    <w:b/>
                    <w:bCs/>
                  </w:rPr>
                  <w:alias w:val="Gruppe.Tittel"/>
                  <w:tag w:val="Gruppe.Tittel"/>
                  <w:id w:val="93600938"/>
                </w:sdtPr>
                <w:sdtEndPr/>
                <w:sdtContent>
                  <w:r w:rsidRPr="00853B6B" w:rsidR="00A45478">
                    <w:rPr>
                      <w:b/>
                      <w:bCs/>
                    </w:rPr>
                    <w:t xml:space="preserve">Formannskapet</w:t>
                  </w:r>
                </w:sdtContent>
              </w:sdt>
              <w:r w:rsidRPr="00853B6B" w:rsidR="00A45478">
                <w:rPr>
                  <w:b/>
                  <w:bCs/>
                </w:rPr>
                <w:t xml:space="preserve"> </w:t>
              </w:r>
              <w:sdt>
                <w:sdtPr>
                  <w:rPr>
                    <w:b/>
                    <w:bCs/>
                  </w:rPr>
                  <w:alias w:val="MøteStart.KortDato"/>
                  <w:tag w:val="MøteStart.KortDato"/>
                  <w:id w:val="1177847224"/>
                </w:sdtPr>
                <w:sdtEndPr/>
                <w:sdtContent>
                  <w:r w:rsidRPr="00853B6B" w:rsidR="00A45478">
                    <w:rPr>
                      <w:b/>
                      <w:bCs/>
                    </w:rPr>
                    <w:t xml:space="preserve">24.03.2026</w:t>
                  </w:r>
                </w:sdtContent>
              </w:sdt>
              <w:r w:rsidRPr="00853B6B" w:rsidR="00A45478">
                <w:rPr>
                  <w:b/>
                  <w:bCs/>
                </w:rPr>
                <w:br/>
              </w:r>
            </w:p>
            <w:p w:rsidRPr="00853B6B" w:rsidR="00A45478" w:rsidP="00A45478" w:rsidRDefault="00A45478" w14:paraId="0C1C892D" w14:textId="77777777">
              <w:pPr>
                <w:rPr>
                  <w:b/>
                  <w:bCs/>
                </w:rPr>
              </w:pPr>
              <w:r w:rsidRPr="00853B6B">
                <w:rPr>
                  <w:b/>
                  <w:bCs/>
                </w:rPr>
                <w:t>Behandling</w:t>
              </w:r>
            </w:p>
            <w:p w:rsidRPr="00853B6B" w:rsidR="00A45478" w:rsidP="00A45478" w:rsidRDefault="00A45478" w14:paraId="49A630FB" w14:textId="77777777"/>
            <w:sdt>
              <w:sdtPr>
                <w:alias w:val="BehandlingsTekst"/>
                <w:tag w:val="BehandlingsTekst"/>
                <w:id w:val="463629446"/>
              </w:sdtPr>
              <w:sdtEndPr/>
              <w:sdtContent>
                <w:p>
                  <w:r>
                    <w:rPr>
                      <w:u w:val="single"/>
                    </w:rPr>
                    <w:t xml:space="preserve">Odin Adelsten Aunan Bohmann (Ap) fremmet følgende forslag på vegne av Ap, Sp, SV:</w:t>
                  </w:r>
                </w:p>
                <w:p>
                  <w:pPr>
                    <w:pStyle w:val="ListParagraph"/>
                    <w:numPr>
                      <w:ilvl w:val="0"/>
                      <w:numId w:val="1"/>
                    </w:numPr>
                  </w:pPr>
                  <w:r>
                    <w:t xml:space="preserve">Tertialrapportering økonomi avvikles ikke.</w:t>
                  </w:r>
                </w:p>
                <w:p>
                  <w:r>
                    <w:rPr>
                      <w:u w:val="single"/>
                    </w:rPr>
                    <w:t xml:space="preserve">Oversendelse for vurdering i utvalgene:</w:t>
                  </w:r>
                </w:p>
                <w:p>
                  <w:r>
                    <w:t xml:space="preserve">Det er betydelig mindre saksmengde i samtlige utvalg som kan medføre endringer:</w:t>
                  </w:r>
                </w:p>
                <w:p>
                  <w:pPr>
                    <w:pStyle w:val="ListParagraph"/>
                    <w:numPr>
                      <w:ilvl w:val="0"/>
                      <w:numId w:val="2"/>
                    </w:numPr>
                  </w:pPr>
                  <w:r>
                    <w:t xml:space="preserve">UTS reduserer sin møtefrekvens og følger samme hyppighet som resten av utvalgene.</w:t>
                  </w:r>
                </w:p>
                <w:p>
                  <w:pPr>
                    <w:pStyle w:val="ListParagraph"/>
                    <w:numPr>
                      <w:ilvl w:val="0"/>
                      <w:numId w:val="2"/>
                    </w:numPr>
                  </w:pPr>
                  <w:r>
                    <w:t xml:space="preserve">Alle utvalgene kan redusere møtefrekvens tilsvarende 1-2 møter i året.</w:t>
                  </w:r>
                </w:p>
                <w:p>
                  <w:pPr>
                    <w:pStyle w:val="ListParagraph"/>
                    <w:numPr>
                      <w:ilvl w:val="0"/>
                      <w:numId w:val="2"/>
                    </w:numPr>
                  </w:pPr>
                  <w:r>
                    <w:t xml:space="preserve">Høringer legges som referatsaker, dersom administrasjonen ikke vurderer det som relevant å svare på.</w:t>
                  </w:r>
                </w:p>
                <w:p>
                  <w:r>
                    <w:t xml:space="preserve"> </w:t>
                  </w:r>
                </w:p>
                <w:p>
                  <w:r>
                    <w:rPr>
                      <w:u w:val="single"/>
                    </w:rPr>
                    <w:t xml:space="preserve">Karianne Hansen (FrP) fremmet følgende forslag på vegne av H, FrP, KrF:</w:t>
                  </w:r>
                </w:p>
                <w:p>
                  <w:r>
                    <w:t xml:space="preserve">Saken sendes på høring til hovedutvalgene før endelig behandling.</w:t>
                  </w:r>
                </w:p>
                <w:p>
                  <w:r>
                    <w:t xml:space="preserve">Høringen skal særlig belyse:</w:t>
                  </w:r>
                </w:p>
                <w:p>
                  <w:pPr>
                    <w:pStyle w:val="ListParagraph"/>
                    <w:numPr>
                      <w:ilvl w:val="0"/>
                      <w:numId w:val="3"/>
                    </w:numPr>
                  </w:pPr>
                  <w:r>
                    <w:t xml:space="preserve">konsekvenser for politisk styring, demokratisk kontroll og innbyggernes innsyn</w:t>
                  </w:r>
                </w:p>
                <w:p>
                  <w:pPr>
                    <w:pStyle w:val="ListParagraph"/>
                    <w:numPr>
                      <w:ilvl w:val="0"/>
                      <w:numId w:val="3"/>
                    </w:numPr>
                  </w:pPr>
                  <w:r>
                    <w:t xml:space="preserve">grenseoppgangen mellom administrativ effektivisering og politiske organers behov for informasjon og behandling</w:t>
                  </w:r>
                </w:p>
                <w:p>
                  <w:pPr>
                    <w:pStyle w:val="ListParagraph"/>
                    <w:numPr>
                      <w:ilvl w:val="0"/>
                      <w:numId w:val="3"/>
                    </w:numPr>
                  </w:pPr>
                  <w:r>
                    <w:t xml:space="preserve">hvordan digitale løsninger og kunstig intelligens kan benyttes for å redusere arbeidsbelastning og rapporteringsbyrde uten å svekke politisk styring</w:t>
                  </w:r>
                </w:p>
                <w:p>
                  <w:pPr>
                    <w:pStyle w:val="ListParagraph"/>
                    <w:numPr>
                      <w:ilvl w:val="0"/>
                      <w:numId w:val="3"/>
                    </w:numPr>
                  </w:pPr>
                  <w:r>
                    <w:t xml:space="preserve">Hvilke konkrete tiltak det enkelte utvalg selv kan gjennomføre for å redusere det lokale styringstrykket, herunder gjennomgang av egne bestillinger, rapporteringsbehov og møtepraksis.</w:t>
                  </w:r>
                </w:p>
                <w:p>
                  <w:r>
                    <w:t xml:space="preserve">Saken legges deretter frem på nytt for formannskapet.</w:t>
                  </w:r>
                </w:p>
                <w:p>
                  <w:r>
                    <w:t xml:space="preserve"> </w:t>
                  </w:r>
                </w:p>
                <w:p>
                  <w:r>
                    <w:rPr>
                      <w:u w:val="single"/>
                    </w:rPr>
                    <w:t xml:space="preserve">Votering:</w:t>
                  </w:r>
                </w:p>
                <w:p>
                  <w:r>
                    <w:t xml:space="preserve">Det ble votert samlet over forslag fremmet av Hansen (FrP) og oversendelsesforslag fremmet av Bohmann (Ap). Forslagene ble enstemmig vedtatt.</w:t>
                  </w:r>
                </w:p>
                <w:p>
                  <w:r>
                    <w:t xml:space="preserve">Forslag fra Bohmann (Ap) vedrørende tertialrapportering ble ikke votert over på bakgrunn av kommunedirektørens avklaringer i møtet.</w:t>
                  </w:r>
                </w:p>
                <w:p>
                  <w:r>
                    <w:t xml:space="preserve"> </w:t>
                  </w:r>
                </w:p>
              </w:sdtContent>
            </w:sdt>
            <w:p w:rsidRPr="00853B6B" w:rsidR="00A45478" w:rsidP="00A45478" w:rsidRDefault="00A45478" w14:paraId="50997019" w14:textId="77777777"/>
            <w:p w:rsidRPr="00853B6B" w:rsidR="00A45478" w:rsidP="00A45478" w:rsidRDefault="00ED1A5A" w14:paraId="296E58BC" w14:textId="77777777">
              <w:pPr>
                <w:rPr>
                  <w:b/>
                  <w:bCs/>
                </w:rPr>
              </w:pPr>
              <w:sdt>
                <w:sdtPr>
                  <w:rPr>
                    <w:b/>
                    <w:bCs/>
                  </w:rPr>
                  <w:alias w:val="Gruppe.KortTittel"/>
                  <w:tag w:val="Gruppe.KortTittel"/>
                  <w:id w:val="1507791798"/>
                </w:sdtPr>
                <w:sdtEndPr/>
                <w:sdtContent>
                  <w:r w:rsidRPr="00853B6B" w:rsidR="00A45478">
                    <w:rPr>
                      <w:b/>
                      <w:bCs/>
                    </w:rPr>
                    <w:t xml:space="preserve">FORM</w:t>
                  </w:r>
                </w:sdtContent>
              </w:sdt>
              <w:r w:rsidRPr="00853B6B" w:rsidR="00A45478">
                <w:rPr>
                  <w:b/>
                  <w:bCs/>
                </w:rPr>
                <w:t xml:space="preserve"> - </w:t>
              </w:r>
              <w:sdt>
                <w:sdtPr>
                  <w:rPr>
                    <w:b/>
                    <w:bCs/>
                  </w:rPr>
                  <w:alias w:val="SaksNummer"/>
                  <w:tag w:val="SaksNummer"/>
                  <w:id w:val="1775748278"/>
                </w:sdtPr>
                <w:sdtEndPr/>
                <w:sdtContent>
                  <w:r w:rsidRPr="00853B6B" w:rsidR="00A45478">
                    <w:rPr>
                      <w:b/>
                      <w:bCs/>
                    </w:rPr>
                    <w:t xml:space="preserve">19/26</w:t>
                  </w:r>
                </w:sdtContent>
              </w:sdt>
              <w:r w:rsidRPr="00853B6B" w:rsidR="00A45478">
                <w:rPr>
                  <w:b/>
                  <w:bCs/>
                </w:rPr>
                <w:t xml:space="preserve"> vedtak</w:t>
              </w:r>
            </w:p>
            <w:sdt>
              <w:sdtPr>
                <w:alias w:val="VedtaksTekst"/>
                <w:tag w:val="VedtaksTekst"/>
                <w:id w:val="1953594642"/>
              </w:sdtPr>
              <w:sdtEndPr/>
              <w:sdtContent>
                <w:p>
                  <w:r>
                    <w:t xml:space="preserve">Saken sendes på høring til hovedutvalgene før endelig behandling.</w:t>
                  </w:r>
                </w:p>
                <w:p>
                  <w:r>
                    <w:t xml:space="preserve">Høringen skal særlig belyse:</w:t>
                  </w:r>
                </w:p>
                <w:p>
                  <w:pPr>
                    <w:pStyle w:val="ListParagraph"/>
                    <w:numPr>
                      <w:ilvl w:val="0"/>
                      <w:numId w:val="4"/>
                    </w:numPr>
                  </w:pPr>
                  <w:r>
                    <w:t xml:space="preserve">konsekvenser for politisk styring, demokratisk kontroll og innbyggernes innsyn</w:t>
                  </w:r>
                </w:p>
                <w:p>
                  <w:pPr>
                    <w:pStyle w:val="ListParagraph"/>
                    <w:numPr>
                      <w:ilvl w:val="0"/>
                      <w:numId w:val="4"/>
                    </w:numPr>
                  </w:pPr>
                  <w:r>
                    <w:t xml:space="preserve">grenseoppgangen mellom administrativ effektivisering og politiske organers behov for informasjon og behandling</w:t>
                  </w:r>
                </w:p>
                <w:p>
                  <w:pPr>
                    <w:pStyle w:val="ListParagraph"/>
                    <w:numPr>
                      <w:ilvl w:val="0"/>
                      <w:numId w:val="4"/>
                    </w:numPr>
                  </w:pPr>
                  <w:r>
                    <w:t xml:space="preserve">hvordan digitale løsninger og kunstig intelligens kan benyttes for å redusere arbeidsbelastning og rapporteringsbyrde uten å svekke politisk styring</w:t>
                  </w:r>
                </w:p>
                <w:p>
                  <w:pPr>
                    <w:pStyle w:val="ListParagraph"/>
                    <w:numPr>
                      <w:ilvl w:val="0"/>
                      <w:numId w:val="4"/>
                    </w:numPr>
                  </w:pPr>
                  <w:r>
                    <w:t xml:space="preserve">Hvilke konkrete tiltak det enkelte utvalg selv kan gjennomføre for å redusere det lokale styringstrykket, herunder gjennomgang av egne bestillinger, rapporteringsbehov og møtepraksis.</w:t>
                  </w:r>
                </w:p>
                <w:p>
                  <w:pPr>
                    <w:pStyle w:val="ListParagraph"/>
                    <w:numPr>
                      <w:ilvl w:val="0"/>
                      <w:numId w:val="4"/>
                    </w:numPr>
                  </w:pPr>
                  <w:r>
                    <w:t xml:space="preserve">Utvalg for teknisk sektor reduserer sin møtefrekvens og følger samme hyppighet som resten av utvalgene.</w:t>
                  </w:r>
                </w:p>
                <w:p>
                  <w:pPr>
                    <w:pStyle w:val="ListParagraph"/>
                    <w:numPr>
                      <w:ilvl w:val="0"/>
                      <w:numId w:val="4"/>
                    </w:numPr>
                  </w:pPr>
                  <w:r>
                    <w:t xml:space="preserve">Alle utvalgene kan redusere møtefrekvens tilsvarende 1-2 møter i året.</w:t>
                  </w:r>
                </w:p>
                <w:p>
                  <w:pPr>
                    <w:pStyle w:val="ListParagraph"/>
                    <w:numPr>
                      <w:ilvl w:val="0"/>
                      <w:numId w:val="4"/>
                    </w:numPr>
                  </w:pPr>
                  <w:r>
                    <w:t xml:space="preserve">Høringer legges som referatsaker, dersom administrasjonen ikke vurderer det som relevant å svare på</w:t>
                  </w:r>
                </w:p>
                <w:p>
                  <w:r>
                    <w:t xml:space="preserve">Saken legges deretter frem på nytt for formannskapet.</w:t>
                  </w:r>
                </w:p>
              </w:sdtContent>
            </w:sdt>
            <w:p w:rsidR="00A45478" w:rsidP="00A45478" w:rsidRDefault="00ED1A5A" w14:paraId="315F511A" w14:textId="77777777"/>
          </w:sdtContent>
        </w:sdt>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spacing w:after="160"/>
              </w:pPr>
              <w:r>
                <w:t xml:space="preserve">Formannskapet tar saken om styringstrykk til orientering og gir sin tilslutning til kommunedirektørens vurdering og anbefaling slik den framkommer av saksfremlegget.</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p>
            <w:p>
              <w:pPr>
                <w:spacing w:after="160"/>
              </w:pPr>
              <w:r>
                <w:t xml:space="preserve">I formannskapsmøte 30.09.2025 (sak 42/25) ble følgende vedtatt:</w:t>
              </w:r>
            </w:p>
            <w:p>
              <w:pPr>
                <w:spacing w:after="160"/>
              </w:pPr>
              <w:r>
                <w:rPr>
                  <w:i/>
                </w:rPr>
                <w:t xml:space="preserve">"Formannskapet ber administrasjonen om å komme tilbake med konkrete forslag til tiltak for å redusere styringstrykket, herunder:</w:t>
              </w:r>
            </w:p>
            <w:p>
              <w:pPr>
                <w:pStyle w:val="ListParagraph"/>
                <w:numPr>
                  <w:ilvl w:val="0"/>
                  <w:numId w:val="5"/>
                </w:numPr>
                <w:spacing w:after="160"/>
              </w:pPr>
              <w:r>
                <w:rPr>
                  <w:i/>
                </w:rPr>
                <w:t xml:space="preserve">Gjennomgang og forslag til endringer i rapporteringsrutiner</w:t>
              </w:r>
            </w:p>
            <w:p>
              <w:pPr>
                <w:pStyle w:val="ListParagraph"/>
                <w:numPr>
                  <w:ilvl w:val="0"/>
                  <w:numId w:val="5"/>
                </w:numPr>
                <w:spacing w:after="160"/>
              </w:pPr>
              <w:r>
                <w:rPr>
                  <w:i/>
                </w:rPr>
                <w:t xml:space="preserve">Forslag til forenklinger av internt regelverk og rutiner</w:t>
              </w:r>
            </w:p>
            <w:p>
              <w:pPr>
                <w:pStyle w:val="ListParagraph"/>
                <w:numPr>
                  <w:ilvl w:val="0"/>
                  <w:numId w:val="5"/>
                </w:numPr>
                <w:spacing w:after="160"/>
              </w:pPr>
              <w:r>
                <w:rPr>
                  <w:i/>
                </w:rPr>
                <w:t xml:space="preserve">Forslag til andre tiltak for økt administrativ effektivitet og mindre rapporteringsbyrden</w:t>
              </w:r>
            </w:p>
            <w:p>
              <w:pPr>
                <w:spacing w:after="160"/>
              </w:pPr>
              <w:r>
                <w:rPr>
                  <w:i/>
                </w:rPr>
                <w:t xml:space="preserve">Formannskapet anmoder hovedutvalgene om å begrense bestillinger til administrasjonen.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p>
            <w:p>
              <w:pPr>
                <w:spacing w:after="160"/>
              </w:pPr>
              <w:r>
                <w:t xml:space="preserve">Lokalpolitiske bestillinger fra bystyret, formannskapet og de ulike utvalgene krever i sum betydelig administrative ressurser i kommunen. Kommunedirektøren tolker formannskapets vedtak som en bestilling for å konkretisere tiltak for å redusere dette administrative styringstrykket.</w:t>
              </w:r>
            </w:p>
            <w:p>
              <w:pPr>
                <w:spacing w:after="160"/>
              </w:pPr>
              <w:r>
                <w:t xml:space="preserve">Temaet styringstrykk i kommunesektoren er også satt på dagsorden nasjonalt, hvor Kommunekommisjonen i januar 2026 la frem sin rapport (NOU2026:1) som bl.a. sier at </w:t>
              </w:r>
              <w:r>
                <w:rPr>
                  <w:i/>
                </w:rPr>
                <w:t xml:space="preserve">“Det er derfor nødvendig med en betydelig reduksjon i den statlige styringen, slik at kommunesektoren får større handlingsrom til å gjennomføre nødvendige omstillinger”.</w:t>
              </w:r>
            </w:p>
            <w:p>
              <w:pPr>
                <w:spacing w:after="160"/>
              </w:pPr>
              <w:r>
                <w:t xml:space="preserve"> </w:t>
              </w:r>
            </w:p>
            <w:p>
              <w:pPr>
                <w:spacing w:after="160"/>
              </w:pPr>
              <w:r>
                <w:t xml:space="preserve">Kommunens totale styringstrykk består av flere lag som samlet legger press på administrasjonen:</w:t>
              </w:r>
            </w:p>
            <w:p>
              <w:pPr>
                <w:pStyle w:val="ListParagraph"/>
                <w:numPr>
                  <w:ilvl w:val="0"/>
                  <w:numId w:val="6"/>
                </w:numPr>
                <w:spacing w:after="160"/>
              </w:pPr>
              <w:r>
                <w:t xml:space="preserve">Statlig styring: Inkluderer lovpålagte rapporteringer, nasjonale normer og individuelle rettigheter, tilsyn, krav om dokumentasjon og likebehandling og øremerkede tilskudd som medfører omfattende administrativt arbeid. En viktig presisering når det gjelder det statlige styringstrykket, er at staten ikke er én aktør — ulike direktorater, tilsyn, departement og etatsnivå stiller krav som hver for seg er håndterbare, men som samlet blir omfattende</w:t>
              </w:r>
            </w:p>
            <w:p>
              <w:pPr>
                <w:pStyle w:val="ListParagraph"/>
                <w:numPr>
                  <w:ilvl w:val="0"/>
                  <w:numId w:val="6"/>
                </w:numPr>
                <w:spacing w:after="160"/>
              </w:pPr>
              <w:r>
                <w:t xml:space="preserve">Lokalpolitiske bestillinger: Utredninger, analyser, rapporteringer utover det lovpålagte, interpellasjoner, ad hoc – saker, planer, høringer og strategier.</w:t>
              </w:r>
            </w:p>
            <w:p>
              <w:pPr>
                <w:spacing w:after="160"/>
              </w:pPr>
              <w:r>
                <w:t xml:space="preserve"> </w:t>
              </w:r>
            </w:p>
            <w:p>
              <w:pPr>
                <w:spacing w:after="160"/>
              </w:pPr>
              <w:r>
                <w:t xml:space="preserve">Flere av disse bestillingene treffer samme fagmiljø gjentatte ganger, ofte med korte frister og medfører samlet et stort styringstrykk som beslaglegger mye tid og ressurser hos aktuelle fagmiljøer og -personer. Kommunekommisjonen (NOU 2026:1) peker på at detaljstyringen fra staten begrenser kommunenes handlingsrom. Samtidig viser erfaringer i Skien at lokale bestillinger også skaper omfattende administrativt arbeid, og at disse to styringslinjene må forstås i sammenheng.</w:t>
              </w:r>
            </w:p>
            <w:p>
              <w:pPr>
                <w:spacing w:after="160"/>
              </w:pPr>
              <w:r>
                <w:t xml:space="preserve">Det statlige styringstrykket gir mindre fleksibilitet i hvordan kommunen løser sine oppgaver, mens det lokale styringstrykket i større grad handler om rapporteringsmengde, detaljeringsnivå og analysekrav fra politiske organer.</w:t>
              </w:r>
            </w:p>
            <w:p>
              <w:pPr>
                <w:spacing w:after="160"/>
              </w:pPr>
              <w:r>
                <w:t xml:space="preserve">Kommunen står i betydelige omstillinger, bl.a. innen tjenesteutvikling, digitalisering og kapasitet. Dette trekker store interne ressurser og påvirker evnen til å levere raskt på nye politiske oppdrag.</w:t>
              </w:r>
            </w:p>
            <w:p>
              <w:pPr>
                <w:spacing w:after="160"/>
              </w:pPr>
              <w:r>
                <w:t xml:space="preserve">Kommunedirektørens forslag til tiltak for å redusere det lokale styringstrykket forsøker å balansere administrativ ressursbruk opp mot politikkens behov for informasjon for å kunne prioritere og fatte vedtak.</w:t>
              </w:r>
            </w:p>
            <w:p>
              <w:pPr>
                <w:spacing w:after="160"/>
              </w:pPr>
              <w:r>
                <w:t xml:space="preserve">Den videre saken er strukturert i tråd med vedtaket.</w:t>
              </w:r>
            </w:p>
            <w:p>
              <w:pPr>
                <w:spacing w:after="160"/>
              </w:pPr>
              <w:r>
                <w:rPr>
                  <w:b/>
                </w:rPr>
                <w:t xml:space="preserve"> </w:t>
              </w:r>
            </w:p>
            <w:p>
              <w:pPr>
                <w:spacing w:after="160"/>
              </w:pPr>
              <w:r>
                <w:rPr>
                  <w:b/>
                </w:rPr>
                <w:t xml:space="preserve">Gjennomgang og forslag til endringer i rapporteringsrutiner</w:t>
              </w:r>
            </w:p>
            <w:p>
              <w:pPr>
                <w:spacing w:after="160"/>
              </w:pPr>
              <w:r>
                <w:t xml:space="preserve">Skien kommune bruker i dag betydelige ressurser på rapportering til politiske organer. I tillegg til lovpålagte rapporter, slik som f.eks. økonomiplan, årsmelding, årsregnskap og tilstandsrapport barnevernet, legger administrasjonen også frem jevnlige rapporter om økonomi, sykefravær, heltidskultur, sosialhjelp, introprogram, tilstandsrapport barnehage og skole, m.m. En del av disse sakene inneholder også analyser, som krever mer tid og administrative ressurser enn ren tallrapportering.</w:t>
              </w:r>
            </w:p>
            <w:p>
              <w:pPr>
                <w:spacing w:after="160"/>
              </w:pPr>
              <w:r>
                <w:t xml:space="preserve">For å sikre en mer målrettet og effektiv bruk av administrative ressurser, er det nødvendig å vurdere om dagens omfang av rapportering står i forhold til den verdien rapportene faktisk gir. Mange av rapporteringene som legges frem i dag går utover lovpålagte krav og innebærer omfattende analyser som i varierende grad bidrar til bedre politisk styring. På denne bakgrunn foreslår kommunedirektøren følgende justeringer i rapporteringspraksis:</w:t>
              </w:r>
            </w:p>
            <w:p>
              <w:pPr>
                <w:spacing w:after="160"/>
              </w:pPr>
              <w:r>
                <w:t xml:space="preserve">Rapportering bør begrenses til:</w:t>
              </w:r>
            </w:p>
            <w:p>
              <w:pPr>
                <w:pStyle w:val="ListParagraph"/>
                <w:numPr>
                  <w:ilvl w:val="0"/>
                  <w:numId w:val="7"/>
                </w:numPr>
                <w:spacing w:after="160"/>
              </w:pPr>
              <w:r>
                <w:t xml:space="preserve">Lovpålagte rapporter og rapporter som er nødvendig for politisk styring og rapportering</w:t>
              </w:r>
            </w:p>
            <w:p>
              <w:pPr>
                <w:pStyle w:val="ListParagraph"/>
                <w:numPr>
                  <w:ilvl w:val="0"/>
                  <w:numId w:val="7"/>
                </w:numPr>
                <w:spacing w:after="160"/>
              </w:pPr>
              <w:r>
                <w:t xml:space="preserve">Kommunedirektøren ser det også som viktig å videreutvikle bruken av allerede implementerte systemer for mer sanntidsrapportering av tall (uten analyser), eksempelvis Framsikt: Sanntidsrapportering innebærer at oppdaterte tall på sentrale områder vil være tilgjengelig til enhver tid, vise situasjonen slik den er nå og vil endre seg dynamisk etter som nye data kommer inn</w:t>
              </w:r>
            </w:p>
            <w:p>
              <w:pPr>
                <w:spacing w:after="160"/>
              </w:pPr>
              <w:r>
                <w:t xml:space="preserve"> </w:t>
              </w:r>
            </w:p>
            <w:p>
              <w:pPr>
                <w:spacing w:after="160"/>
              </w:pPr>
              <w:r>
                <w:t xml:space="preserve">Videre foreslår kommunedirektøren at ved bestilling av rapporteringer ut over det lovbestemte, skal følgende elementer vurderes:</w:t>
              </w:r>
            </w:p>
            <w:p>
              <w:pPr>
                <w:pStyle w:val="ListParagraph"/>
                <w:numPr>
                  <w:ilvl w:val="0"/>
                  <w:numId w:val="8"/>
                </w:numPr>
                <w:spacing w:after="160"/>
              </w:pPr>
              <w:r>
                <w:t xml:space="preserve">Hvorfor er det behov for denne informasjonen?</w:t>
              </w:r>
            </w:p>
            <w:p>
              <w:pPr>
                <w:pStyle w:val="ListParagraph"/>
                <w:numPr>
                  <w:ilvl w:val="0"/>
                  <w:numId w:val="8"/>
                </w:numPr>
                <w:spacing w:after="160"/>
              </w:pPr>
              <w:r>
                <w:t xml:space="preserve">Hvor hyppig er det behov for og hensiktsmessig å rapportere?</w:t>
              </w:r>
            </w:p>
            <w:p>
              <w:pPr>
                <w:pStyle w:val="ListParagraph"/>
                <w:numPr>
                  <w:ilvl w:val="0"/>
                  <w:numId w:val="8"/>
                </w:numPr>
                <w:spacing w:after="160"/>
              </w:pPr>
              <w:r>
                <w:t xml:space="preserve">Er rapporteringen overlappende med annen rapportering?</w:t>
              </w:r>
            </w:p>
            <w:p>
              <w:pPr>
                <w:pStyle w:val="ListParagraph"/>
                <w:numPr>
                  <w:ilvl w:val="0"/>
                  <w:numId w:val="8"/>
                </w:numPr>
                <w:spacing w:after="160"/>
              </w:pPr>
              <w:r>
                <w:t xml:space="preserve">Vurdering av merverdi vs. ressursbruk</w:t>
              </w:r>
            </w:p>
            <w:p>
              <w:pPr>
                <w:pStyle w:val="ListParagraph"/>
                <w:numPr>
                  <w:ilvl w:val="0"/>
                  <w:numId w:val="8"/>
                </w:numPr>
                <w:spacing w:after="160"/>
              </w:pPr>
              <w:r>
                <w:t xml:space="preserve">Kan (deler av) rapporteringen erstattes av sanntidsinformasjon (eksempelvis i Framsikt)</w:t>
              </w:r>
            </w:p>
            <w:p>
              <w:pPr>
                <w:spacing w:after="160"/>
              </w:pPr>
              <w:r>
                <w:t xml:space="preserve"> </w:t>
              </w:r>
            </w:p>
            <w:p>
              <w:pPr>
                <w:spacing w:after="160"/>
              </w:pPr>
              <w:r>
                <w:rPr>
                  <w:u w:val="single"/>
                </w:rPr>
                <w:t xml:space="preserve">Konkrete forslag</w:t>
              </w:r>
            </w:p>
            <w:p>
              <w:pPr>
                <w:spacing w:after="160"/>
              </w:pPr>
              <w:r>
                <w:t xml:space="preserve">Kommunedirektøren foreslår følgende konkrete forslag når det gjelder endringer i rapporteringsrutiner:</w:t>
              </w:r>
            </w:p>
            <w:p>
              <w:pPr>
                <w:pStyle w:val="ListParagraph"/>
                <w:numPr>
                  <w:ilvl w:val="0"/>
                  <w:numId w:val="9"/>
                </w:numPr>
                <w:spacing w:after="160"/>
              </w:pPr>
              <w:r>
                <w:t xml:space="preserve">Tertialrapport 1 og 2 eksklusive finans avvikles og erstattes med én halvårsrapport. I tillegg tilkommer kommunens årsrapport. Dette reduserer overlapp mot handlingsprogrammet og sparer analysekapasitet. Rapporteringer på økonomi, sykefravær og større prosjekter fortsetter i nåværende form (presentasjoner) </w:t>
              </w:r>
            </w:p>
            <w:p>
              <w:pPr>
                <w:pStyle w:val="ListParagraph"/>
                <w:numPr>
                  <w:ilvl w:val="0"/>
                  <w:numId w:val="9"/>
                </w:numPr>
                <w:spacing w:after="160"/>
              </w:pPr>
              <w:r>
                <w:t xml:space="preserve">Virksomhetsplaner avvikles og rapportering på politiske bestillinger tilgjengeliggjøres fortløpende i Framsikt. Halvårsrapporten (jf. første punkt) rapporterer på bestillinger i HØP og løpende bestillinger lagt inn i Framsikt</w:t>
              </w:r>
            </w:p>
            <w:p>
              <w:pPr>
                <w:pStyle w:val="ListParagraph"/>
                <w:numPr>
                  <w:ilvl w:val="0"/>
                  <w:numId w:val="9"/>
                </w:numPr>
                <w:spacing w:after="160"/>
              </w:pPr>
              <w:r>
                <w:t xml:space="preserve">Sykefravær rapporteres kvartalsvis til PSU. Ut over dette brukes Framsikt el liknende for fortløpende oversikt over sykefraværet</w:t>
              </w:r>
            </w:p>
            <w:p>
              <w:pPr>
                <w:pStyle w:val="ListParagraph"/>
                <w:numPr>
                  <w:ilvl w:val="0"/>
                  <w:numId w:val="9"/>
                </w:numPr>
                <w:spacing w:after="160"/>
              </w:pPr>
              <w:r>
                <w:t xml:space="preserve">Hvert utvalg tar en gjennomgang av de løpende rapporteringene som gjøres i dag basert på punktene nevnt over (jf. punkter som skal vurderes ved bestilling av nye rapporteringer)</w:t>
              </w:r>
            </w:p>
            <w:p>
              <w:pPr>
                <w:spacing w:after="160"/>
              </w:pPr>
              <w:r>
                <w:t xml:space="preserve"> </w:t>
              </w:r>
            </w:p>
            <w:p>
              <w:pPr>
                <w:spacing w:after="160"/>
              </w:pPr>
              <w:r>
                <w:rPr>
                  <w:b/>
                </w:rPr>
                <w:t xml:space="preserve">Forslag til forenklinger av internt regelverk og rutiner</w:t>
              </w:r>
            </w:p>
            <w:p>
              <w:pPr>
                <w:spacing w:after="160"/>
              </w:pPr>
              <w:r>
                <w:t xml:space="preserve">Kommunens interne regelverk og rutiner omfatter alt fra kommuneovergripende personalreglementer til fagspesifikke rutiner innenfor konkrete områder og faglige prosedyrer ved den enkelte enhet. Mye av dette er utarbeidet med bakgrunn i føringer i lov- og avtaleverk og er en del av kommunedirektørens internkontroll, jfr Kommunelovens §25-1. Omfanget av slike dokumenter har de siste 20 år vært økende, noe som bl.a. kommenteres i Kommunekommisjonens rapport (NOU2026:1): </w:t>
              </w:r>
              <w:r>
                <w:rPr>
                  <w:i/>
                </w:rPr>
                <w:t xml:space="preserve">“DFØs vurdering er at det samlede statlige styringstrykket er stort og økende”.</w:t>
              </w:r>
              <w:r>
                <w:t xml:space="preserve"> </w:t>
              </w:r>
            </w:p>
            <w:p>
              <w:pPr>
                <w:spacing w:after="160"/>
              </w:pPr>
              <w:r>
                <w:t xml:space="preserve">Det er imidlertid viktig å påpeke at i tillegg til å sikre at kommunens drift er i tråd med lov- og avtaleverk, er interne regelverk og rutiner ofte også med på å skape klare føringer og trygghet i arbeidsutførelsen for den enkelte medarbeider, og dermed også god tjenestekvalitet til kommunens innbyggere.</w:t>
              </w:r>
            </w:p>
            <w:p>
              <w:pPr>
                <w:spacing w:after="160"/>
              </w:pPr>
              <w:r>
                <w:t xml:space="preserve">Samtidig er en del av disse dokumentene selvpålagte og overlapper med øvrig lov- og avtaleverk og det er viktig at kommunen gjennomgår og vurderer behovet fortløpende for den enkelte rutine / regelverk.</w:t>
              </w:r>
            </w:p>
            <w:p>
              <w:pPr>
                <w:spacing w:after="160"/>
              </w:pPr>
              <w:r>
                <w:t xml:space="preserve"> </w:t>
              </w:r>
            </w:p>
            <w:p>
              <w:pPr>
                <w:spacing w:after="160"/>
              </w:pPr>
              <w:r>
                <w:rPr>
                  <w:u w:val="single"/>
                </w:rPr>
                <w:t xml:space="preserve">Konkrete forslag:</w:t>
              </w:r>
            </w:p>
            <w:p>
              <w:pPr>
                <w:pStyle w:val="ListParagraph"/>
                <w:numPr>
                  <w:ilvl w:val="0"/>
                  <w:numId w:val="10"/>
                </w:numPr>
                <w:spacing w:after="160"/>
              </w:pPr>
              <w:r>
                <w:t xml:space="preserve">Administrasjonen jobber kontinuerlig med forenkling av rutiner og kritisk vurdering av styringsdokumenter med mål om forenkling</w:t>
              </w:r>
            </w:p>
            <w:p>
              <w:pPr>
                <w:pStyle w:val="ListParagraph"/>
                <w:numPr>
                  <w:ilvl w:val="0"/>
                  <w:numId w:val="10"/>
                </w:numPr>
                <w:spacing w:after="160"/>
              </w:pPr>
              <w:r>
                <w:t xml:space="preserve">Gjennomgang av kommunenes overordnede dokumenter som HØP, årsmelding, tertialrapporter og planverk for å vurdere og redusere gjentagelser og lange tekstmengder uten tydelig merverdi</w:t>
              </w:r>
            </w:p>
            <w:p>
              <w:pPr>
                <w:pStyle w:val="ListParagraph"/>
                <w:numPr>
                  <w:ilvl w:val="0"/>
                  <w:numId w:val="10"/>
                </w:numPr>
                <w:spacing w:after="160"/>
              </w:pPr>
              <w:r>
                <w:t xml:space="preserve">Vurdere om lokale forskrifter kan erstattes av administrative retningslinjer når dette er forsvarlig.</w:t>
              </w:r>
            </w:p>
            <w:p>
              <w:pPr>
                <w:pStyle w:val="ListParagraph"/>
                <w:numPr>
                  <w:ilvl w:val="0"/>
                  <w:numId w:val="10"/>
                </w:numPr>
                <w:spacing w:after="160"/>
              </w:pPr>
              <w:r>
                <w:t xml:space="preserve">Digitalisering og mer systematisk bruk av KI-løsninger i dokument- og rapportproduksjon, uten at dette går på bekostning av kvalitet, sikkerhet og personvern</w:t>
              </w:r>
            </w:p>
            <w:p>
              <w:pPr>
                <w:spacing w:after="160"/>
              </w:pPr>
              <w:r>
                <w:t xml:space="preserve"> </w:t>
              </w:r>
            </w:p>
            <w:p>
              <w:pPr>
                <w:spacing w:after="160"/>
              </w:pPr>
              <w:r>
                <w:rPr>
                  <w:b/>
                </w:rPr>
                <w:t xml:space="preserve">Forslag til andre tiltak for økt administrativ effektivitet og mindre rapporteringsbyrde</w:t>
              </w:r>
            </w:p>
            <w:p>
              <w:pPr>
                <w:spacing w:after="160"/>
              </w:pPr>
              <w:r>
                <w:t xml:space="preserve">Som nevnt innledningsvis krever nasjonale føringer, </w:t>
              </w:r>
              <w:r>
                <w:rPr>
                  <w:i/>
                </w:rPr>
                <w:t xml:space="preserve">“det statlige styringstrykket”</w:t>
              </w:r>
              <w:r>
                <w:t xml:space="preserve">, også administrative ressurser i tillegg til det lokale styringstrykket. Det vurderes derfor som positivt at Kommunekommisjonen jobber videre med dette temaet med målsetting om å redusere styringstrykket </w:t>
              </w:r>
              <w:r>
                <w:rPr>
                  <w:i/>
                </w:rPr>
                <w:t xml:space="preserve">“slik at kommunene får større handlingsrom til å gjennomføre nødvendige omstillinger”</w:t>
              </w:r>
              <w:r>
                <w:t xml:space="preserve">.</w:t>
              </w:r>
            </w:p>
            <w:p>
              <w:pPr>
                <w:spacing w:after="160"/>
              </w:pPr>
              <w:r>
                <w:t xml:space="preserve">Kommunedirektøren ser imidlertid at det også er potensiale for å redusere det lokale styringstrykket, både når det gjelder generelle bestillinger, planer, høringer og tilsyn. Forslagene under er gruppert basert på disse kategoriene.</w:t>
              </w:r>
            </w:p>
            <w:p>
              <w:pPr>
                <w:spacing w:after="160"/>
              </w:pPr>
              <w:r>
                <w:t xml:space="preserve"> </w:t>
              </w:r>
            </w:p>
            <w:p>
              <w:pPr>
                <w:spacing w:after="160"/>
              </w:pPr>
              <w:r>
                <w:rPr>
                  <w:u w:val="single"/>
                </w:rPr>
                <w:t xml:space="preserve">Forslag: Planer</w:t>
              </w:r>
            </w:p>
            <w:p>
              <w:pPr>
                <w:spacing w:after="160"/>
              </w:pPr>
              <w:r>
                <w:t xml:space="preserve">Å utarbeide lange og omfattende planer er mindre relevant i dag fordi kommunesektoren står i en virkelighet som endrer seg raskt. Demografiske endringer, strammere økonomi, teknologisk utvikling og økte forventninger fra innbyggerne gjør at forutsetningene kan endre seg før planene er ferdig vedtatt – eller kort tid etter. Temaplaner kan derfor bli utdaterte før de rekker å bli tatt i bruk. Lange planprosesser binder ofte mye tid og ressurser, samtidig som de kan skape mindre handlingsrom og tregere beslutninger.</w:t>
              </w:r>
            </w:p>
            <w:p>
              <w:pPr>
                <w:spacing w:after="160"/>
              </w:pPr>
              <w:r>
                <w:t xml:space="preserve">I stedet er det behov for en mer handlingsorientert tilnærming, med tydelige mål, korte beslutningslinjer og løpende justering underveis. For å få til bedre samarbeid og mer fleksible prioriteringer, kan planbehovet i stedet ivaretas gjennom HØP. Kommunen må teste tiltak raskere, lære av erfaring og tilpasse seg fortløpende. Kommunedirektøren foreslår derfor følgende tiltak når det gjelder planer:</w:t>
              </w:r>
            </w:p>
            <w:p>
              <w:pPr>
                <w:pStyle w:val="ListParagraph"/>
                <w:numPr>
                  <w:ilvl w:val="0"/>
                  <w:numId w:val="11"/>
                </w:numPr>
                <w:spacing w:after="160"/>
              </w:pPr>
              <w:r>
                <w:t xml:space="preserve">Gjennomgå kommunens planstrategi med formål om å redusere antallet planer, herunder vurdere planer som kan inkluderes i handlings- og økonomiplanen (HØP) - eksempelvis integreringsplanen, digitaliseringsstrategien, arbeidsgiverstrategien. Dette er planer som er sektorovergripende og til dels omtales i mange andre sektor- og temaplaner. En samlet rapportering og tiltaksbeskrivelse gjennom HØP vil gi et bedre og mer helhetlig bilde samtidig som det reduserer den administrative ressursbruken</w:t>
              </w:r>
            </w:p>
            <w:p>
              <w:pPr>
                <w:pStyle w:val="ListParagraph"/>
                <w:numPr>
                  <w:ilvl w:val="0"/>
                  <w:numId w:val="11"/>
                </w:numPr>
                <w:spacing w:after="160"/>
              </w:pPr>
              <w:r>
                <w:t xml:space="preserve">Være mer tiltaksorienterte i våre planer og ta tiltakene inn i HØP. Plantiltak med organisatorisk og/eller økonomisk konsekvens fremmes i HØP</w:t>
              </w:r>
            </w:p>
            <w:p>
              <w:pPr>
                <w:pStyle w:val="ListParagraph"/>
                <w:numPr>
                  <w:ilvl w:val="0"/>
                  <w:numId w:val="11"/>
                </w:numPr>
                <w:spacing w:after="160"/>
              </w:pPr>
              <w:r>
                <w:t xml:space="preserve">Kommunen har mange planverk på ulike nivå. Nye planer bør bare bestilles der dette gir reell styringsverdi og vurderingene som ble foreslått når det gjelder bestilling av nye rapporteringer bør også ligge til grunn (både for administrasjonen og politikken) før nye planer bestilles og utarbeides</w:t>
              </w:r>
            </w:p>
            <w:p>
              <w:pPr>
                <w:spacing w:after="160"/>
              </w:pPr>
              <w:r>
                <w:t xml:space="preserve"> </w:t>
              </w:r>
            </w:p>
            <w:p>
              <w:pPr>
                <w:spacing w:after="160"/>
              </w:pPr>
              <w:r>
                <w:rPr>
                  <w:u w:val="single"/>
                </w:rPr>
                <w:t xml:space="preserve">Forslag: Generelle politiske bestillinger</w:t>
              </w:r>
            </w:p>
            <w:p>
              <w:pPr>
                <w:spacing w:after="160"/>
              </w:pPr>
              <w:r>
                <w:t xml:space="preserve">Kommunedirektøren foreslår at ved </w:t>
              </w:r>
              <w:r>
                <w:rPr>
                  <w:u w:val="single"/>
                </w:rPr>
                <w:t xml:space="preserve">større</w:t>
              </w:r>
              <w:r>
                <w:t xml:space="preserve"> politiske bestillinger vurderes faktorer som merverdi vs. administrativ belastning, hvorvidt dette er besvart tidligere og om det finnes informasjon i allerede tilgjengelig styringsdata (eksempelvis via Framsikt)</w:t>
              </w:r>
            </w:p>
            <w:p>
              <w:pPr>
                <w:spacing w:after="160"/>
              </w:pPr>
              <w:r>
                <w:t xml:space="preserve">Interpellasjoner følger saksbehandlingsreglementet når det gjelder omfang og administrativ ressursbruk. Forespørsler til utvalgene foreslås behandlet på samme måte</w:t>
              </w:r>
            </w:p>
            <w:p>
              <w:pPr>
                <w:spacing w:after="160"/>
              </w:pPr>
              <w:r>
                <w:t xml:space="preserve"> </w:t>
              </w:r>
            </w:p>
            <w:p>
              <w:pPr>
                <w:spacing w:after="160"/>
              </w:pPr>
              <w:r>
                <w:rPr>
                  <w:u w:val="single"/>
                </w:rPr>
                <w:t xml:space="preserve">Forslag: Revisjoner</w:t>
              </w:r>
            </w:p>
            <w:p>
              <w:pPr>
                <w:spacing w:after="160"/>
              </w:pPr>
              <w:r>
                <w:t xml:space="preserve">Kommunesektoren er gjenstand både for statlige tilsyn og kommunale revisjoner. Revisjoner er et viktig verktøy for å sikre kvalitet, etterlevelse, internkontroll og videreutvikling av gode tjenester til innbyggerne. Samtidig innebærer revisjoner et betydelig ressursbehov både administrativt og ikke minst ledelsesmessig. I tillegg til å gjennomføre intervjuer binder revisjoner opp betydelig kapasitet med hensyn til fremskaffelse av underlag og dokumentasjon. En revisjonsprosess vil følgelig pågå over en lengre tidsperiode og strekke seg over flere måneder.</w:t>
              </w:r>
            </w:p>
            <w:p>
              <w:pPr>
                <w:spacing w:after="160"/>
              </w:pPr>
              <w:r>
                <w:t xml:space="preserve">Med denne bakgrunn anbefaler kommunedirektøren følgende:</w:t>
              </w:r>
            </w:p>
            <w:p>
              <w:pPr>
                <w:pStyle w:val="ListParagraph"/>
                <w:numPr>
                  <w:ilvl w:val="0"/>
                  <w:numId w:val="12"/>
                </w:numPr>
                <w:spacing w:after="160"/>
              </w:pPr>
              <w:r>
                <w:t xml:space="preserve">Ved bestilling av ny revisjon, skal det vurderes om statlige myndigheter nylig har gjennomført tilsyn innen samme område. Dersom dette er tilfelle, skal det videre vurderes om denne allerede dekker informasjonsbehovet. Dette vil frigjøre kapasitet og sikre at kommunens ressurser brukes der hvor behovet er størst.</w:t>
              </w:r>
            </w:p>
            <w:p>
              <w:pPr>
                <w:spacing w:after="160"/>
              </w:pPr>
              <w:r>
                <w:t xml:space="preserve"> </w:t>
              </w:r>
            </w:p>
            <w:p>
              <w:pPr>
                <w:spacing w:after="160"/>
              </w:pPr>
              <w:r>
                <w:rPr>
                  <w:u w:val="single"/>
                </w:rPr>
                <w:t xml:space="preserve">Forslag: Høringer</w:t>
              </w:r>
            </w:p>
            <w:p>
              <w:pPr>
                <w:spacing w:after="160"/>
              </w:pPr>
              <w:r>
                <w:t xml:space="preserve">Kommunen motter hvert år en stor andel høringer. I 2025 mottok kommunen ca. 135 høringer og ga høringsuttalelse på et betydelig antall. Enkelte av høringene har også korte frister, og fristene kan bli enda kortere på grunn av lokal saksbehandling. Kommunen har ikke et saksbehandlerapparat som er dimensjonert til å besvare et slikt antall og denne typen oppgaver kommer i tillegg til saksbehandlernes opprinnelige portefølje. Dette kan derfor i perioder medføre kapasitetsutfordringer for administrasjonen.</w:t>
              </w:r>
            </w:p>
            <w:p>
              <w:pPr>
                <w:spacing w:after="160"/>
              </w:pPr>
              <w:r>
                <w:t xml:space="preserve">Kommunedirektøren anbefaler derfor følgende forslag når det gjelder høringer:</w:t>
              </w:r>
            </w:p>
            <w:p>
              <w:pPr>
                <w:pStyle w:val="ListParagraph"/>
                <w:numPr>
                  <w:ilvl w:val="0"/>
                  <w:numId w:val="13"/>
                </w:numPr>
                <w:spacing w:after="160"/>
              </w:pPr>
              <w:r>
                <w:t xml:space="preserve">Administrasjonen gis fullmakt til å redusere antallet høringssaker som utredes. Kun høringer som har vesentlig relevans eller er av prinsipiell betydning legges fram for politisk behandling. Administrasjonen gjør videre en vurdering av hvilke høringer som behandles som saksfremlegg, hvilke som kun tas til orientering som referatsaker og hvilke som ikke legges fram eller besvares</w:t>
              </w:r>
            </w:p>
            <w:p>
              <w:pPr>
                <w:pStyle w:val="ListParagraph"/>
                <w:numPr>
                  <w:ilvl w:val="0"/>
                  <w:numId w:val="13"/>
                </w:numPr>
                <w:spacing w:after="160"/>
              </w:pPr>
              <w:r>
                <w:t xml:space="preserve">Høringer behandles som hovedregel kun i ett utvalg – dette avklares med utvalgsleder</w:t>
              </w:r>
            </w:p>
            <w:p>
              <w:pPr>
                <w:spacing w:after="160"/>
              </w:pPr>
              <w:r>
                <w:t xml:space="preserve"> </w:t>
              </w:r>
            </w:p>
            <w:p>
              <w:pPr>
                <w:spacing w:after="160"/>
              </w:pPr>
              <w:r>
                <w:rPr>
                  <w:u w:val="single"/>
                </w:rPr>
                <w:t xml:space="preserve">Forslag: Lokale tilskuddsordninger</w:t>
              </w:r>
            </w:p>
            <w:p>
              <w:pPr>
                <w:spacing w:after="160"/>
              </w:pPr>
              <w:r>
                <w:t xml:space="preserve">Kommunen forvalter en rekke lokale tilskuddsordninger knyttet til ulike formål, som for eksempel folkehelse, integrering, kultur og frivillighet, klima- og miljøtiltak samt kompetanse- og utviklingsarbeid. Tilskuddsmidlene er bundne midler og skal benyttes i tråd med vilkår og krav som følger ordningene. Dette innebærer at kommunen både mottar midler, følger opp bruken og rapporterer tilbake i henhold til fastsatte krav.</w:t>
              </w:r>
            </w:p>
            <w:p>
              <w:pPr>
                <w:spacing w:after="160"/>
              </w:pPr>
              <w:r>
                <w:t xml:space="preserve">Lokale tilskuddsordninger kan bidra til innovasjon og utvikling innenfor prioriterte områder, og gjøre det mulig å målrette innsatsen mot sentrale behov i lokalsamfunnet. Samtidig skaper tilskuddsordninger ofte et omfattende administrativt arbeid knyttet til både kontroll, oppfølging og rapportering. Små tilskuddsposter medfører ofte like mye administrativt arbeid som større ordninger, og det er behov for å se helhetlig på ressursbruk og nytte.</w:t>
              </w:r>
            </w:p>
            <w:p>
              <w:pPr>
                <w:spacing w:after="160"/>
              </w:pPr>
              <w:r>
                <w:t xml:space="preserve">For å sikre en mer effektiv og hensiktsmessig forvaltning av de lokale tilskuddsordningene foreslår kommunedirektøren følgende tiltak:</w:t>
              </w:r>
            </w:p>
            <w:p>
              <w:pPr>
                <w:pStyle w:val="ListParagraph"/>
                <w:numPr>
                  <w:ilvl w:val="0"/>
                  <w:numId w:val="14"/>
                </w:numPr>
                <w:spacing w:after="160"/>
              </w:pPr>
              <w:r>
                <w:t xml:space="preserve">Igangsette en gjennomgang av lokale tilskuddsordninger for å se om det er mulig å effektivisere søknadsprosessen, tildeling og rapportering</w:t>
              </w:r>
            </w:p>
            <w:p>
              <w:pPr>
                <w:spacing w:after="160"/>
              </w:pPr>
              <w:r>
                <w:t xml:space="preserve"> </w:t>
              </w:r>
            </w:p>
            <w:p>
              <w:pPr>
                <w:spacing w:after="160"/>
              </w:pPr>
              <w:r>
                <w:rPr>
                  <w:u w:val="single"/>
                </w:rPr>
                <w:t xml:space="preserve">Annet</w:t>
              </w:r>
            </w:p>
            <w:p>
              <w:pPr>
                <w:spacing w:after="160"/>
              </w:pPr>
              <w:r>
                <w:t xml:space="preserve">Budsjettet legger opp til en innsparing på 3,5 millioner kroner knyttet til politisk organisering. I den forbindelse vil det være naturlig å vurdere møtefrekvensen – noe som igjen vil kunne medføre reduksjon i administrative forberedelser og møtebelastning. Det er nedsatt en egen arbeidsgruppe for dette arbeidet.</w:t>
              </w:r>
            </w:p>
            <w:p>
              <w:pPr>
                <w:spacing w:after="160"/>
              </w:pPr>
              <w:r>
                <w:t xml:space="preserve"> </w:t>
              </w:r>
            </w:p>
            <w:p>
              <w:pPr>
                <w:spacing w:after="160"/>
              </w:pPr>
              <w:r>
                <w:rPr>
                  <w:b/>
                </w:rPr>
                <w:t xml:space="preserve">Effekten av saken </w:t>
              </w:r>
              <w:r>
                <w:br/>
              </w:r>
              <w:r>
                <w:t xml:space="preserve">Saken omhandler reduksjon av lokalt styringstrykk, og har slik sett ikke direkte konsekvenser for klima, miljø eller folkehelse. Saken kan imidlertid ha positiv økonomisk effekt i form av å frigjøre administrative ressurser til andre oppgaver.</w:t>
              </w:r>
            </w:p>
            <w:tbl>
              <w:tblPr>
                <w:tblStyle w:val="TableGrid"/>
                <w:tblW w:w="0" w:type="auto"/>
                <w:tblBorders>
                  <w:top w:val="single" w:color="000000" w:sz="4"/>
                  <w:left w:val="single" w:color="000000" w:sz="4"/>
                  <w:bottom w:val="single" w:color="000000" w:sz="4"/>
                  <w:right w:val="single" w:color="000000" w:sz="4"/>
                </w:tblBorders>
                <w:tblLook w:firstRow="false" w:lastRow="false" w:firstColumn="false" w:lastColumn="false"/>
              </w:tblPr>
              <w:tblGrid>
                <w:gridCol/>
                <w:gridCol/>
                <w:gridCol/>
                <w:gridCol/>
                <w:gridCol/>
              </w:tblGrid>
              <w:tr>
                <w:trPr>
                  <w:tblCellSpacing w:w="0" w:type="dxa"/>
                </w:trPr>
                <w:tc>
                  <w:tcPr>
                    <w:tcMar>
                      <w:left w:w="108" w:type="dxa"/>
                      <w:right w:w="108" w:type="dxa"/>
                    </w:tcMar>
                    <w:vAlign w:val="center"/>
                  </w:tcPr>
                  <w:p>
                    <w:pPr>
                      <w:spacing w:after="160"/>
                    </w:pPr>
                    <w:r>
                      <w:rPr>
                        <w:b/>
                      </w:rPr>
                      <w:t xml:space="preserve">Perspektiv</w:t>
                    </w:r>
                  </w:p>
                </w:tc>
                <w:tc>
                  <w:tcPr>
                    <w:tcMar>
                      <w:left w:w="108" w:type="dxa"/>
                      <w:right w:w="108" w:type="dxa"/>
                    </w:tcMar>
                    <w:vAlign w:val="center"/>
                  </w:tcPr>
                  <w:p>
                    <w:pPr>
                      <w:spacing w:after="160"/>
                    </w:pPr>
                    <w:r>
                      <w:rPr>
                        <w:b/>
                      </w:rPr>
                      <w:t xml:space="preserve">Negativ</w:t>
                    </w:r>
                  </w:p>
                </w:tc>
                <w:tc>
                  <w:tcPr>
                    <w:tcMar>
                      <w:left w:w="108" w:type="dxa"/>
                      <w:right w:w="108" w:type="dxa"/>
                    </w:tcMar>
                    <w:vAlign w:val="center"/>
                  </w:tcPr>
                  <w:p>
                    <w:pPr>
                      <w:spacing w:after="160"/>
                    </w:pPr>
                    <w:r>
                      <w:rPr>
                        <w:b/>
                      </w:rPr>
                      <w:t xml:space="preserve">Nøytral</w:t>
                    </w:r>
                  </w:p>
                </w:tc>
                <w:tc>
                  <w:tcPr>
                    <w:tcMar>
                      <w:left w:w="108" w:type="dxa"/>
                      <w:right w:w="108" w:type="dxa"/>
                    </w:tcMar>
                    <w:vAlign w:val="center"/>
                  </w:tcPr>
                  <w:p>
                    <w:pPr>
                      <w:spacing w:after="160"/>
                    </w:pPr>
                    <w:r>
                      <w:rPr>
                        <w:b/>
                      </w:rPr>
                      <w:t xml:space="preserve">Positiv</w:t>
                    </w:r>
                  </w:p>
                </w:tc>
                <w:tc>
                  <w:tcPr>
                    <w:tcMar>
                      <w:left w:w="108" w:type="dxa"/>
                      <w:right w:w="108" w:type="dxa"/>
                    </w:tcMar>
                    <w:vAlign w:val="center"/>
                  </w:tcPr>
                  <w:p>
                    <w:pPr>
                      <w:spacing w:after="160"/>
                    </w:pPr>
                    <w:r>
                      <w:rPr>
                        <w:b/>
                      </w:rPr>
                      <w:t xml:space="preserve">Ikke relevant</w:t>
                    </w:r>
                  </w:p>
                </w:tc>
              </w:tr>
              <w:tr>
                <w:trPr>
                  <w:tblCellSpacing w:w="0" w:type="dxa"/>
                </w:trPr>
                <w:tc>
                  <w:tcPr>
                    <w:tcMar>
                      <w:left w:w="108" w:type="dxa"/>
                      <w:right w:w="108" w:type="dxa"/>
                    </w:tcMar>
                    <w:vAlign w:val="center"/>
                  </w:tcPr>
                  <w:p>
                    <w:pPr>
                      <w:spacing w:after="160"/>
                    </w:pPr>
                    <w:r>
                      <w:t xml:space="preserve">Konsekvens for klima på kort og lang sikt</w:t>
                    </w:r>
                  </w:p>
                </w:tc>
                <w:tc>
                  <w:tcPr>
                    <w:tcMar>
                      <w:left w:w="108" w:type="dxa"/>
                      <w:right w:w="108" w:type="dxa"/>
                    </w:tcMar>
                    <w:vAlign w:val="center"/>
                  </w:tcPr>
                  <w:p>
                    <w:pPr>
                      <w:spacing w:after="160"/>
                    </w:pPr>
                    <w:r>
                      <w:t xml:space="preserve"> </w:t>
                    </w:r>
                  </w:p>
                </w:tc>
                <w:tc>
                  <w:tcPr>
                    <w:tcMar>
                      <w:left w:w="108" w:type="dxa"/>
                      <w:right w:w="108" w:type="dxa"/>
                    </w:tcMar>
                    <w:vAlign w:val="center"/>
                  </w:tcPr>
                  <w:p>
                    <w:pPr>
                      <w:spacing w:after="160"/>
                    </w:pPr>
                    <w:r>
                      <w:t xml:space="preserve"> </w:t>
                    </w:r>
                  </w:p>
                </w:tc>
                <w:tc>
                  <w:tcPr>
                    <w:tcMar>
                      <w:left w:w="108" w:type="dxa"/>
                      <w:right w:w="108" w:type="dxa"/>
                    </w:tcMar>
                    <w:vAlign w:val="center"/>
                  </w:tcPr>
                  <w:p>
                    <w:pPr>
                      <w:spacing w:after="160"/>
                    </w:pPr>
                    <w:r>
                      <w:t xml:space="preserve"> </w:t>
                    </w:r>
                  </w:p>
                </w:tc>
                <w:tc>
                  <w:tcPr>
                    <w:tcMar>
                      <w:left w:w="108" w:type="dxa"/>
                      <w:right w:w="108" w:type="dxa"/>
                    </w:tcMar>
                    <w:vAlign w:val="center"/>
                  </w:tcPr>
                  <w:p>
                    <w:pPr>
                      <w:jc w:val="center"/>
                      <w:spacing w:after="160"/>
                    </w:pPr>
                    <w:r>
                      <w:t xml:space="preserve">X</w:t>
                    </w:r>
                  </w:p>
                </w:tc>
              </w:tr>
              <w:tr>
                <w:trPr>
                  <w:tblCellSpacing w:w="0" w:type="dxa"/>
                </w:trPr>
                <w:tc>
                  <w:tcPr>
                    <w:tcMar>
                      <w:left w:w="108" w:type="dxa"/>
                      <w:right w:w="108" w:type="dxa"/>
                    </w:tcMar>
                    <w:vAlign w:val="center"/>
                  </w:tcPr>
                  <w:p>
                    <w:pPr>
                      <w:spacing w:after="160"/>
                    </w:pPr>
                    <w:r>
                      <w:t xml:space="preserve">Konsekvens for miljøet på kort og lang sikt</w:t>
                    </w:r>
                  </w:p>
                </w:tc>
                <w:tc>
                  <w:tcPr>
                    <w:tcMar>
                      <w:left w:w="108" w:type="dxa"/>
                      <w:right w:w="108" w:type="dxa"/>
                    </w:tcMar>
                    <w:vAlign w:val="center"/>
                  </w:tcPr>
                  <w:p>
                    <w:pPr>
                      <w:spacing w:after="160"/>
                    </w:pPr>
                    <w:r>
                      <w:t xml:space="preserve"> </w:t>
                    </w:r>
                  </w:p>
                </w:tc>
                <w:tc>
                  <w:tcPr>
                    <w:tcMar>
                      <w:left w:w="108" w:type="dxa"/>
                      <w:right w:w="108" w:type="dxa"/>
                    </w:tcMar>
                    <w:vAlign w:val="center"/>
                  </w:tcPr>
                  <w:p>
                    <w:pPr>
                      <w:spacing w:after="160"/>
                    </w:pPr>
                    <w:r>
                      <w:t xml:space="preserve"> </w:t>
                    </w:r>
                  </w:p>
                </w:tc>
                <w:tc>
                  <w:tcPr>
                    <w:tcMar>
                      <w:left w:w="108" w:type="dxa"/>
                      <w:right w:w="108" w:type="dxa"/>
                    </w:tcMar>
                    <w:vAlign w:val="center"/>
                  </w:tcPr>
                  <w:p>
                    <w:pPr>
                      <w:spacing w:after="160"/>
                    </w:pPr>
                    <w:r>
                      <w:t xml:space="preserve"> </w:t>
                    </w:r>
                  </w:p>
                </w:tc>
                <w:tc>
                  <w:tcPr>
                    <w:tcMar>
                      <w:left w:w="108" w:type="dxa"/>
                      <w:right w:w="108" w:type="dxa"/>
                    </w:tcMar>
                    <w:vAlign w:val="center"/>
                  </w:tcPr>
                  <w:p>
                    <w:pPr>
                      <w:jc w:val="center"/>
                      <w:spacing w:after="160"/>
                    </w:pPr>
                    <w:r>
                      <w:t xml:space="preserve">X</w:t>
                    </w:r>
                  </w:p>
                </w:tc>
              </w:tr>
              <w:tr>
                <w:trPr>
                  <w:tblCellSpacing w:w="0" w:type="dxa"/>
                </w:trPr>
                <w:tc>
                  <w:tcPr>
                    <w:tcMar>
                      <w:left w:w="108" w:type="dxa"/>
                      <w:right w:w="108" w:type="dxa"/>
                    </w:tcMar>
                    <w:vAlign w:val="center"/>
                  </w:tcPr>
                  <w:p>
                    <w:pPr>
                      <w:spacing w:after="160"/>
                    </w:pPr>
                    <w:r>
                      <w:t xml:space="preserve">Økonomiske konsekvenser i et langt perspektiv</w:t>
                    </w:r>
                  </w:p>
                </w:tc>
                <w:tc>
                  <w:tcPr>
                    <w:tcMar>
                      <w:left w:w="108" w:type="dxa"/>
                      <w:right w:w="108" w:type="dxa"/>
                    </w:tcMar>
                    <w:vAlign w:val="center"/>
                  </w:tcPr>
                  <w:p>
                    <w:pPr>
                      <w:spacing w:after="160"/>
                    </w:pPr>
                    <w:r>
                      <w:t xml:space="preserve"> </w:t>
                    </w:r>
                  </w:p>
                </w:tc>
                <w:tc>
                  <w:tcPr>
                    <w:tcMar>
                      <w:left w:w="108" w:type="dxa"/>
                      <w:right w:w="108" w:type="dxa"/>
                    </w:tcMar>
                    <w:vAlign w:val="center"/>
                  </w:tcPr>
                  <w:p>
                    <w:pPr>
                      <w:spacing w:after="160"/>
                    </w:pPr>
                    <w:r>
                      <w:t xml:space="preserve"> </w:t>
                    </w:r>
                  </w:p>
                </w:tc>
                <w:tc>
                  <w:tcPr>
                    <w:tcMar>
                      <w:left w:w="108" w:type="dxa"/>
                      <w:right w:w="108" w:type="dxa"/>
                    </w:tcMar>
                    <w:vAlign w:val="center"/>
                  </w:tcPr>
                  <w:p>
                    <w:pPr>
                      <w:jc w:val="center"/>
                      <w:spacing w:after="160"/>
                    </w:pPr>
                    <w:r>
                      <w:t xml:space="preserve">X</w:t>
                    </w:r>
                  </w:p>
                </w:tc>
                <w:tc>
                  <w:tcPr>
                    <w:tcMar>
                      <w:left w:w="108" w:type="dxa"/>
                      <w:right w:w="108" w:type="dxa"/>
                    </w:tcMar>
                    <w:vAlign w:val="center"/>
                  </w:tcPr>
                  <w:p>
                    <w:pPr>
                      <w:jc w:val="center"/>
                      <w:spacing w:after="160"/>
                    </w:pPr>
                    <w:r>
                      <w:t xml:space="preserve"> </w:t>
                    </w:r>
                  </w:p>
                </w:tc>
              </w:tr>
              <w:tr>
                <w:trPr>
                  <w:tblCellSpacing w:w="0" w:type="dxa"/>
                </w:trPr>
                <w:tc>
                  <w:tcPr>
                    <w:tcMar>
                      <w:left w:w="108" w:type="dxa"/>
                      <w:right w:w="108" w:type="dxa"/>
                    </w:tcMar>
                    <w:vAlign w:val="center"/>
                  </w:tcPr>
                  <w:p>
                    <w:pPr>
                      <w:spacing w:after="160"/>
                    </w:pPr>
                    <w:r>
                      <w:t xml:space="preserve">Konsekvens for folkehelsen</w:t>
                    </w:r>
                  </w:p>
                </w:tc>
                <w:tc>
                  <w:tcPr>
                    <w:tcMar>
                      <w:left w:w="108" w:type="dxa"/>
                      <w:right w:w="108" w:type="dxa"/>
                    </w:tcMar>
                    <w:vAlign w:val="center"/>
                  </w:tcPr>
                  <w:p>
                    <w:pPr>
                      <w:spacing w:after="160"/>
                    </w:pPr>
                    <w:r>
                      <w:t xml:space="preserve"> </w:t>
                    </w:r>
                  </w:p>
                </w:tc>
                <w:tc>
                  <w:tcPr>
                    <w:tcMar>
                      <w:left w:w="108" w:type="dxa"/>
                      <w:right w:w="108" w:type="dxa"/>
                    </w:tcMar>
                    <w:vAlign w:val="center"/>
                  </w:tcPr>
                  <w:p>
                    <w:pPr>
                      <w:spacing w:after="160"/>
                    </w:pPr>
                    <w:r>
                      <w:t xml:space="preserve"> </w:t>
                    </w:r>
                  </w:p>
                </w:tc>
                <w:tc>
                  <w:tcPr>
                    <w:tcMar>
                      <w:left w:w="108" w:type="dxa"/>
                      <w:right w:w="108" w:type="dxa"/>
                    </w:tcMar>
                    <w:vAlign w:val="center"/>
                  </w:tcPr>
                  <w:p>
                    <w:pPr>
                      <w:spacing w:after="160"/>
                    </w:pPr>
                    <w:r>
                      <w:t xml:space="preserve"> </w:t>
                    </w:r>
                  </w:p>
                </w:tc>
                <w:tc>
                  <w:tcPr>
                    <w:tcMar>
                      <w:left w:w="108" w:type="dxa"/>
                      <w:right w:w="108" w:type="dxa"/>
                    </w:tcMar>
                    <w:vAlign w:val="center"/>
                  </w:tcPr>
                  <w:p>
                    <w:pPr>
                      <w:jc w:val="center"/>
                      <w:spacing w:after="160"/>
                    </w:pPr>
                    <w:r>
                      <w:t xml:space="preserve">X</w:t>
                    </w:r>
                  </w:p>
                </w:tc>
              </w:tr>
            </w:tbl>
            <w:p>
              <w:pPr>
                <w:spacing w:after="160"/>
              </w:pPr>
              <w:r>
                <w:br/>
              </w:r>
              <w:r>
                <w:rPr>
                  <w:b/>
                </w:rPr>
                <w:t xml:space="preserve">Kommunedirektørens vurdering og konklusjon</w:t>
              </w:r>
              <w:r>
                <w:br/>
              </w:r>
              <w:r>
                <w:t xml:space="preserve">Formannskapets bestilling om å konkretisere tiltak som kan redusere det lokale styringstrykket har synliggjort et stort potensial for å frigjøre administrative ressurser og sikre bedre balanse i styringstrykket. Arbeidet har også avdekket at både statlige og lokale føringer samlet legger et omfattende press på organisasjonen, og at dagens praksis flere steder ikke er bærekraftig i en tid med store omstillingsbehov.</w:t>
              </w:r>
            </w:p>
            <w:p>
              <w:pPr>
                <w:spacing w:after="160"/>
              </w:pPr>
              <w:r>
                <w:t xml:space="preserve">Kommunedirektøren anbefaler at Formannskapet vedtar iverksettelse av tiltakene nevnt i saken. For å tydeliggjøre særskilt de mer konkrete tiltakene, er disse oppsummert kortfattet i tabellen under:</w:t>
              </w:r>
            </w:p>
            <w:p>
              <w:pPr>
                <w:spacing w:after="160"/>
              </w:pPr>
              <w:r>
                <w:t xml:space="preserve"> </w:t>
              </w:r>
            </w:p>
            <w:tbl>
              <w:tblPr>
                <w:tblStyle w:val="TableGrid"/>
                <w:tblW w:w="9000" w:type="dxa"/>
                <w:tblBorders>
                  <w:top w:val="none" w:color="000000" w:sz="0"/>
                  <w:left w:val="none" w:color="000000" w:sz="0"/>
                  <w:bottom w:val="none" w:color="000000" w:sz="0"/>
                  <w:right w:val="none" w:color="000000" w:sz="0"/>
                </w:tblBorders>
                <w:tblLayout w:type="fixed"/>
                <w:tblLook w:firstRow="false" w:lastRow="false" w:firstColumn="false" w:lastColumn="false"/>
              </w:tblPr>
              <w:tblGrid>
                <w:gridCol w:w="2774.7"/>
                <w:gridCol w:w="6225.3"/>
              </w:tblGrid>
              <w:tr>
                <w:trPr>
                  <w:tblCellSpacing w:w="0" w:type="dxa"/>
                </w:trPr>
                <w:tc>
                  <w:tcPr>
                    <w:tcW w:w="3440" w:type="auto"/>
                    <w:shd w:val="clear" w:color="auto" w:fill="D1D1D1"/>
                    <w:tcMar>
                      <w:left w:w="108" w:type="dxa"/>
                      <w:right w:w="108" w:type="dxa"/>
                    </w:tcMar>
                    <w:vAlign w:val="top"/>
                  </w:tcPr>
                  <w:p>
                    <w:pPr>
                      <w:spacing w:after="160"/>
                    </w:pPr>
                    <w:r>
                      <w:rPr>
                        <w:b/>
                        <w:shd w:val="clear" w:fill="D1D1D1"/>
                      </w:rPr>
                      <w:t xml:space="preserve">Område</w:t>
                    </w:r>
                  </w:p>
                </w:tc>
                <w:tc>
                  <w:tcPr>
                    <w:tcW w:w="6320" w:type="auto"/>
                    <w:tcBorders>
                      <w:top w:val="single" w:color="000000" w:sz="0"/>
                      <w:left w:val="none" w:color="000000" w:sz="0"/>
                      <w:bottom w:val="single" w:color="000000" w:sz="0"/>
                      <w:right w:val="single" w:color="000000" w:sz="0"/>
                    </w:tcBorders>
                    <w:shd w:val="clear" w:color="auto" w:fill="D1D1D1"/>
                    <w:tcMar>
                      <w:left w:w="108" w:type="dxa"/>
                      <w:right w:w="108" w:type="dxa"/>
                    </w:tcMar>
                    <w:vAlign w:val="top"/>
                  </w:tcPr>
                  <w:p>
                    <w:pPr>
                      <w:spacing w:after="160"/>
                    </w:pPr>
                    <w:r>
                      <w:rPr>
                        <w:b/>
                        <w:shd w:val="clear" w:fill="D1D1D1"/>
                      </w:rPr>
                      <w:t xml:space="preserve">Tiltak</w:t>
                    </w:r>
                  </w:p>
                </w:tc>
              </w:tr>
              <w:tr>
                <w:trPr>
                  <w:tblCellSpacing w:w="0" w:type="dxa"/>
                </w:trPr>
                <w:tc>
                  <w:tcPr>
                    <w:tcW w:w="34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Rapporteringsrutiner</w:t>
                    </w:r>
                  </w:p>
                </w:tc>
                <w:tc>
                  <w:tcPr>
                    <w:tcW w:w="6320" w:type="auto"/>
                    <w:tcBorders>
                      <w:top w:val="none" w:color="000000" w:sz="0"/>
                      <w:left w:val="none" w:color="000000" w:sz="0"/>
                      <w:bottom w:val="single" w:color="000000" w:sz="4"/>
                      <w:right w:val="single" w:color="000000" w:sz="4"/>
                    </w:tcBorders>
                    <w:tcMar>
                      <w:left w:w="108" w:type="dxa"/>
                      <w:right w:w="108" w:type="dxa"/>
                    </w:tcMar>
                    <w:vAlign w:val="top"/>
                  </w:tcPr>
                  <w:p>
                    <w:pPr>
                      <w:pStyle w:val="ListParagraph"/>
                      <w:numPr>
                        <w:ilvl w:val="0"/>
                        <w:numId w:val="15"/>
                      </w:numPr>
                      <w:spacing w:after="160"/>
                    </w:pPr>
                    <w:r>
                      <w:t xml:space="preserve">Begrense rapportering til lovpålagte rapporter og rapporter som er nødvendig for politisk styring og rapportering</w:t>
                    </w:r>
                  </w:p>
                  <w:p>
                    <w:pPr>
                      <w:pStyle w:val="ListParagraph"/>
                      <w:numPr>
                        <w:ilvl w:val="0"/>
                        <w:numId w:val="15"/>
                      </w:numPr>
                      <w:spacing w:after="160"/>
                    </w:pPr>
                    <w:r>
                      <w:t xml:space="preserve">Foreta vurdering av behov, hyppighet, overlapp med andre rapporteringer, merverdi vs. ressursbruk ved bestilling av nye rapporteringer</w:t>
                    </w:r>
                  </w:p>
                  <w:p>
                    <w:pPr>
                      <w:pStyle w:val="ListParagraph"/>
                      <w:numPr>
                        <w:ilvl w:val="0"/>
                        <w:numId w:val="15"/>
                      </w:numPr>
                      <w:spacing w:after="160"/>
                    </w:pPr>
                    <w:r>
                      <w:t xml:space="preserve">Videreutvikle bruken av sanntidsrapportering</w:t>
                    </w:r>
                  </w:p>
                  <w:p>
                    <w:pPr>
                      <w:pStyle w:val="ListParagraph"/>
                      <w:numPr>
                        <w:ilvl w:val="0"/>
                        <w:numId w:val="15"/>
                      </w:numPr>
                      <w:spacing w:after="160"/>
                    </w:pPr>
                    <w:r>
                      <w:t xml:space="preserve">Tertialrapport 1 og 2 eksklusive finans avvikles og erstattes med én halvårsrapport</w:t>
                    </w:r>
                  </w:p>
                  <w:p>
                    <w:pPr>
                      <w:pStyle w:val="ListParagraph"/>
                      <w:numPr>
                        <w:ilvl w:val="0"/>
                        <w:numId w:val="15"/>
                      </w:numPr>
                      <w:spacing w:after="160"/>
                    </w:pPr>
                    <w:r>
                      <w:t xml:space="preserve">Virksomhetsplaner avvikles og rapportering på politiske bestillinger tilgjengeliggjøres fortløpende i Framsikt</w:t>
                    </w:r>
                  </w:p>
                  <w:p>
                    <w:pPr>
                      <w:pStyle w:val="ListParagraph"/>
                      <w:numPr>
                        <w:ilvl w:val="0"/>
                        <w:numId w:val="15"/>
                      </w:numPr>
                      <w:spacing w:after="160"/>
                    </w:pPr>
                    <w:r>
                      <w:t xml:space="preserve">Rapportere sykefravær kvartalsvis til PSU og ut over det bruke Framsikt/ liknende plattform for fortløpende oversikt over sykefraværet</w:t>
                    </w:r>
                  </w:p>
                  <w:p>
                    <w:pPr>
                      <w:pStyle w:val="ListParagraph"/>
                      <w:numPr>
                        <w:ilvl w:val="0"/>
                        <w:numId w:val="15"/>
                      </w:numPr>
                      <w:spacing w:after="160"/>
                    </w:pPr>
                    <w:r>
                      <w:t xml:space="preserve">Hvert politiske utvalg tar en gjennomgang av de løpende rapporteringene som gjøres i dag basert på vurderingspunktene nevnt i kapittelet om rapporteringsrutiner</w:t>
                    </w:r>
                  </w:p>
                  <w:p>
                    <w:pPr>
                      <w:spacing w:after="160"/>
                    </w:pPr>
                    <w:r>
                      <w:t xml:space="preserve"> </w:t>
                    </w:r>
                  </w:p>
                </w:tc>
              </w:tr>
              <w:tr>
                <w:trPr>
                  <w:tblCellSpacing w:w="0" w:type="dxa"/>
                </w:trPr>
                <w:tc>
                  <w:tcPr>
                    <w:tcW w:w="34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Interne regelverk og rutiner</w:t>
                    </w:r>
                  </w:p>
                </w:tc>
                <w:tc>
                  <w:tcPr>
                    <w:tcW w:w="6320" w:type="auto"/>
                    <w:tcBorders>
                      <w:top w:val="none" w:color="000000" w:sz="0"/>
                      <w:left w:val="none" w:color="000000" w:sz="0"/>
                      <w:bottom w:val="single" w:color="000000" w:sz="4"/>
                      <w:right w:val="single" w:color="000000" w:sz="4"/>
                    </w:tcBorders>
                    <w:tcMar>
                      <w:left w:w="108" w:type="dxa"/>
                      <w:right w:w="108" w:type="dxa"/>
                    </w:tcMar>
                    <w:vAlign w:val="top"/>
                  </w:tcPr>
                  <w:p>
                    <w:pPr>
                      <w:pStyle w:val="ListParagraph"/>
                      <w:numPr>
                        <w:ilvl w:val="0"/>
                        <w:numId w:val="16"/>
                      </w:numPr>
                      <w:spacing w:after="160"/>
                    </w:pPr>
                    <w:r>
                      <w:t xml:space="preserve">Gjennomgang av kommunens overordnede dokumenter som HØP, årsmelding, tertialrapportering og planverk for å redusere gjentagelser og lange tekstmengder uten tydelig merverdi</w:t>
                    </w:r>
                  </w:p>
                  <w:p>
                    <w:pPr>
                      <w:spacing w:after="160"/>
                    </w:pPr>
                    <w:r>
                      <w:t xml:space="preserve"> </w:t>
                    </w:r>
                  </w:p>
                </w:tc>
              </w:tr>
              <w:tr>
                <w:trPr>
                  <w:tblCellSpacing w:w="0" w:type="dxa"/>
                </w:trPr>
                <w:tc>
                  <w:tcPr>
                    <w:tcW w:w="34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Andre tiltak: Planer</w:t>
                    </w:r>
                  </w:p>
                </w:tc>
                <w:tc>
                  <w:tcPr>
                    <w:tcW w:w="6320" w:type="auto"/>
                    <w:tcBorders>
                      <w:top w:val="none" w:color="000000" w:sz="0"/>
                      <w:left w:val="none" w:color="000000" w:sz="0"/>
                      <w:bottom w:val="single" w:color="000000" w:sz="4"/>
                      <w:right w:val="single" w:color="000000" w:sz="4"/>
                    </w:tcBorders>
                    <w:tcMar>
                      <w:left w:w="108" w:type="dxa"/>
                      <w:right w:w="108" w:type="dxa"/>
                    </w:tcMar>
                    <w:vAlign w:val="top"/>
                  </w:tcPr>
                  <w:p>
                    <w:pPr>
                      <w:pStyle w:val="ListParagraph"/>
                      <w:numPr>
                        <w:ilvl w:val="0"/>
                        <w:numId w:val="17"/>
                      </w:numPr>
                      <w:spacing w:after="160"/>
                    </w:pPr>
                    <w:r>
                      <w:t xml:space="preserve">Revidere kommunens planstrategi med formål å redusere antallet planer, herunder vurdere planer som kan inkluderes i HØP</w:t>
                    </w:r>
                  </w:p>
                  <w:p>
                    <w:pPr>
                      <w:pStyle w:val="ListParagraph"/>
                      <w:numPr>
                        <w:ilvl w:val="0"/>
                        <w:numId w:val="17"/>
                      </w:numPr>
                      <w:spacing w:after="160"/>
                    </w:pPr>
                    <w:r>
                      <w:t xml:space="preserve">Være mer tiltaksorienterte i våre planer og ta tiltakene inn i HØP</w:t>
                    </w:r>
                  </w:p>
                  <w:p>
                    <w:pPr>
                      <w:pStyle w:val="ListParagraph"/>
                      <w:numPr>
                        <w:ilvl w:val="0"/>
                        <w:numId w:val="17"/>
                      </w:numPr>
                      <w:spacing w:after="160"/>
                    </w:pPr>
                    <w:r>
                      <w:t xml:space="preserve">Nye planer bør bare bestilles der dette gir reell styringsverdi og vurderingene som ble foreslått når det gjelder bestilling av nye rapporteringer bør også ligge til grunn før nye planer bestilles og utarbeides</w:t>
                    </w:r>
                  </w:p>
                  <w:p>
                    <w:pPr>
                      <w:spacing w:after="160"/>
                    </w:pPr>
                    <w:r>
                      <w:t xml:space="preserve"> </w:t>
                    </w:r>
                  </w:p>
                </w:tc>
              </w:tr>
              <w:tr>
                <w:trPr>
                  <w:tblCellSpacing w:w="0" w:type="dxa"/>
                </w:trPr>
                <w:tc>
                  <w:tcPr>
                    <w:tcW w:w="34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Andre tiltak: Generelle politiske bestillinger</w:t>
                    </w:r>
                  </w:p>
                </w:tc>
                <w:tc>
                  <w:tcPr>
                    <w:tcW w:w="6320" w:type="auto"/>
                    <w:tcBorders>
                      <w:top w:val="none" w:color="000000" w:sz="0"/>
                      <w:left w:val="none" w:color="000000" w:sz="0"/>
                      <w:bottom w:val="single" w:color="000000" w:sz="4"/>
                      <w:right w:val="single" w:color="000000" w:sz="4"/>
                    </w:tcBorders>
                    <w:tcMar>
                      <w:left w:w="108" w:type="dxa"/>
                      <w:right w:w="108" w:type="dxa"/>
                    </w:tcMar>
                    <w:vAlign w:val="top"/>
                  </w:tcPr>
                  <w:p>
                    <w:pPr>
                      <w:pStyle w:val="ListParagraph"/>
                      <w:numPr>
                        <w:ilvl w:val="0"/>
                        <w:numId w:val="18"/>
                      </w:numPr>
                      <w:spacing w:after="160"/>
                    </w:pPr>
                    <w:r>
                      <w:t xml:space="preserve">Ved </w:t>
                    </w:r>
                    <w:r>
                      <w:rPr>
                        <w:u w:val="single"/>
                      </w:rPr>
                      <w:t xml:space="preserve">større</w:t>
                    </w:r>
                    <w:r>
                      <w:t xml:space="preserve"> politiske bestillinger vurderes faktorer som merverdi vs. administrativ belastning, hvorvidt dette er besvart tidligere og om det finnes informasjon i allerede tilgjengelig styringsdata (eksempelvis via Framsikt)</w:t>
                    </w:r>
                  </w:p>
                  <w:p>
                    <w:pPr>
                      <w:spacing w:after="160"/>
                    </w:pPr>
                    <w:r>
                      <w:t xml:space="preserve"> </w:t>
                    </w:r>
                  </w:p>
                </w:tc>
              </w:tr>
              <w:tr>
                <w:trPr>
                  <w:tblCellSpacing w:w="0" w:type="dxa"/>
                </w:trPr>
                <w:tc>
                  <w:tcPr>
                    <w:tcW w:w="34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Andre tiltak: Revisjoner</w:t>
                    </w:r>
                  </w:p>
                </w:tc>
                <w:tc>
                  <w:tcPr>
                    <w:tcW w:w="6320" w:type="auto"/>
                    <w:tcBorders>
                      <w:top w:val="none" w:color="000000" w:sz="0"/>
                      <w:left w:val="none" w:color="000000" w:sz="0"/>
                      <w:bottom w:val="single" w:color="000000" w:sz="4"/>
                      <w:right w:val="single" w:color="000000" w:sz="4"/>
                    </w:tcBorders>
                    <w:tcMar>
                      <w:left w:w="108" w:type="dxa"/>
                      <w:right w:w="108" w:type="dxa"/>
                    </w:tcMar>
                    <w:vAlign w:val="top"/>
                  </w:tcPr>
                  <w:p>
                    <w:pPr>
                      <w:pStyle w:val="ListParagraph"/>
                      <w:numPr>
                        <w:ilvl w:val="0"/>
                        <w:numId w:val="19"/>
                      </w:numPr>
                      <w:spacing w:after="160"/>
                    </w:pPr>
                    <w:r>
                      <w:t xml:space="preserve">Ved bestilling av ny revisjon, skal det vurderes om statlige myndigheter  nylig har gjennomført revisjon eller tilsyn innen samme område. Dersom dette er tilfelle, skal det videre vurderes om denne allerede dekker informasjonsbehovet</w:t>
                    </w:r>
                  </w:p>
                  <w:p>
                    <w:pPr>
                      <w:spacing w:after="160"/>
                    </w:pPr>
                    <w:r>
                      <w:t xml:space="preserve"> </w:t>
                    </w:r>
                  </w:p>
                </w:tc>
              </w:tr>
              <w:tr>
                <w:trPr>
                  <w:tblCellSpacing w:w="0" w:type="dxa"/>
                </w:trPr>
                <w:tc>
                  <w:tcPr>
                    <w:tcW w:w="34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Konkrete forslag: Høringer</w:t>
                    </w:r>
                  </w:p>
                </w:tc>
                <w:tc>
                  <w:tcPr>
                    <w:tcW w:w="6320" w:type="auto"/>
                    <w:tcBorders>
                      <w:top w:val="none" w:color="000000" w:sz="0"/>
                      <w:left w:val="none" w:color="000000" w:sz="0"/>
                      <w:bottom w:val="single" w:color="000000" w:sz="4"/>
                      <w:right w:val="single" w:color="000000" w:sz="4"/>
                    </w:tcBorders>
                    <w:tcMar>
                      <w:left w:w="108" w:type="dxa"/>
                      <w:right w:w="108" w:type="dxa"/>
                    </w:tcMar>
                    <w:vAlign w:val="top"/>
                  </w:tcPr>
                  <w:p>
                    <w:pPr>
                      <w:pStyle w:val="ListParagraph"/>
                      <w:numPr>
                        <w:ilvl w:val="0"/>
                        <w:numId w:val="20"/>
                      </w:numPr>
                      <w:spacing w:after="160"/>
                    </w:pPr>
                    <w:r>
                      <w:t xml:space="preserve">Administrasjonen får fullmakt til å begrense antall utredede høringssaker</w:t>
                    </w:r>
                  </w:p>
                  <w:p>
                    <w:pPr>
                      <w:pStyle w:val="ListParagraph"/>
                      <w:numPr>
                        <w:ilvl w:val="0"/>
                        <w:numId w:val="20"/>
                      </w:numPr>
                      <w:spacing w:after="160"/>
                    </w:pPr>
                    <w:r>
                      <w:t xml:space="preserve">Høringer behandles som hovedregel kun i ett utvalg – dette avklares med utvalgsleder</w:t>
                    </w:r>
                  </w:p>
                  <w:p>
                    <w:pPr>
                      <w:spacing w:after="160"/>
                    </w:pPr>
                    <w:r>
                      <w:t xml:space="preserve"> </w:t>
                    </w:r>
                  </w:p>
                </w:tc>
              </w:tr>
              <w:tr>
                <w:trPr>
                  <w:tblCellSpacing w:w="0" w:type="dxa"/>
                </w:trPr>
                <w:tc>
                  <w:tcPr>
                    <w:tcW w:w="344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t xml:space="preserve">Konkrete forslag: Lokale tilskuddsordninger</w:t>
                    </w:r>
                  </w:p>
                </w:tc>
                <w:tc>
                  <w:tcPr>
                    <w:tcW w:w="6320" w:type="auto"/>
                    <w:tcBorders>
                      <w:top w:val="none" w:color="000000" w:sz="0"/>
                      <w:left w:val="none" w:color="000000" w:sz="0"/>
                      <w:bottom w:val="single" w:color="000000" w:sz="4"/>
                      <w:right w:val="single" w:color="000000" w:sz="4"/>
                    </w:tcBorders>
                    <w:tcMar>
                      <w:left w:w="108" w:type="dxa"/>
                      <w:right w:w="108" w:type="dxa"/>
                    </w:tcMar>
                    <w:vAlign w:val="top"/>
                  </w:tcPr>
                  <w:p>
                    <w:pPr>
                      <w:pStyle w:val="ListParagraph"/>
                      <w:numPr>
                        <w:ilvl w:val="0"/>
                        <w:numId w:val="21"/>
                      </w:numPr>
                      <w:spacing w:after="160"/>
                    </w:pPr>
                    <w:r>
                      <w:t xml:space="preserve">Igangsette en gjennomgang av lokale tilskuddsordninger for å se om det er mulig å effektivisere søknadsprosessen, tildeling og rapportering</w:t>
                    </w:r>
                  </w:p>
                  <w:p>
                    <w:pPr>
                      <w:spacing w:after="160"/>
                    </w:pPr>
                    <w:r>
                      <w:t xml:space="preserve"> </w:t>
                    </w:r>
                  </w:p>
                </w:tc>
              </w:tr>
            </w:tbl>
            <w:p>
              <w:pPr>
                <w:spacing w:after="160"/>
              </w:pPr>
              <w:r>
                <w:t xml:space="preserve"> </w:t>
              </w:r>
            </w:p>
            <w:p>
              <w:pPr>
                <w:spacing w:after="160"/>
              </w:pPr>
              <w:r>
                <w:t xml:space="preserve"> </w:t>
              </w:r>
            </w:p>
            <w:p>
              <w:pPr>
                <w:spacing w:after="160"/>
              </w:pPr>
              <w:r>
                <w:t xml:space="preserve"> </w:t>
              </w:r>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2">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3">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4">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6">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7">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8">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9">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6">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7">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8">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9">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0e7abcc6639041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Reduksjon av lokalt styringstrykk </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