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24/14863</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60</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Sigbjørn Hjelset</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06.03.2026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23/26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14.04.2026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Detaljregulering for FV 3294 Trommedalsvegen - klager på reguleringsplan</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Klager på detaljregulering for FV 3294 tas ikke til følge og bystyrets vedtak i sak 156/25 den 11.12.25 opprettholdes. Klagen oversendes til Statsforvalteren for endelig avgjørelse. </w:t>
              </w:r>
            </w:p>
            <w:p>
              <w:pPr>
                <w:spacing w:after="160"/>
              </w:pPr>
              <w:r>
                <w:t xml:space="preserve"> </w:t>
              </w:r>
            </w:p>
            <w:p>
              <w:pPr>
                <w:spacing w:after="160"/>
              </w:pPr>
              <w:r>
                <w:rPr>
                  <w:b/>
                </w:rPr>
                <w:t xml:space="preserve">Oversiktskart</w:t>
              </w:r>
            </w:p>
            <w:p>
              <w:pPr>
                <w:spacing w:after="160"/>
              </w:pPr>
              <w:r>
                <w:drawing>
                  <wp:inline distT="0" distB="0" distL="0" distR="0">
                    <wp:extent cx="4362450" cy="3590925"/>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9e9aec92e7944588"/>
                            <a:srcRect/>
                            <a:stretch>
                              <a:fillRect/>
                            </a:stretch>
                          </pic:blipFill>
                          <pic:spPr bwMode="auto">
                            <a:xfrm>
                              <a:off x="0" y="0"/>
                              <a:ext cx="4362450" cy="3590925"/>
                            </a:xfrm>
                            <a:prstGeom prst="rect">
                              <a:avLst/>
                            </a:prstGeom>
                          </pic:spPr>
                        </pic:pic>
                      </a:graphicData>
                    </a:graphic>
                  </wp:inline>
                </w:drawing>
              </w:r>
            </w:p>
            <w:p>
              <w:pPr>
                <w:spacing w:after="160"/>
              </w:pPr>
              <w:r>
                <w:rPr>
                  <w:i/>
                </w:rPr>
                <w:t xml:space="preserve">Oversiktskart, som viser Trommedalsvegen, Klovholt og Klyve</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I Bypakke Grenland fase 2 er det lagt inn i prosjekt-porteføljen flere prosjekter som skal bedre trafikkavviklingen på de viktigste hovedvegene i Grenland. En bedre og raskere kobling mellom Menstadbrua og Skyggestein er et slikt prosjekt. Standardheving av Trommedalsvegen er første parsell av denne strekningen, og det er denne strekningen reguleringsplanen handler om. Strekningen mellom Menstadbrua og Rødmyr er en egen kommunedelplan-prosess, der flere alternativer vurderes. Den strekningen er ikke en del av reguleringsplanen.</w:t>
              </w:r>
              <w:r>
                <w:br/>
              </w:r>
              <w:r>
                <w:t xml:space="preserve">Telemark fylkeskommune er vegeier og har utarbeidet planforslaget.</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 </w:t>
              </w:r>
              <w:r>
                <w:br/>
              </w:r>
              <w:r>
                <w:t xml:space="preserve"> </w:t>
              </w:r>
            </w:p>
            <w:p>
              <w:pPr>
                <w:spacing w:after="160"/>
              </w:pPr>
              <w:r>
                <w:rPr>
                  <w:b/>
                </w:rPr>
                <w:t xml:space="preserve">Reguleringsplanen</w:t>
              </w:r>
              <w:r>
                <w:br/>
              </w:r>
              <w:r>
                <w:t xml:space="preserve">Plankartet som ble vedtatt i Bystyret er vist under. Planen gjelder for</w:t>
              </w:r>
              <w:r>
                <w:rPr>
                  <w:b/>
                </w:rPr>
                <w:t xml:space="preserve"> </w:t>
              </w:r>
              <w:r>
                <w:t xml:space="preserve">den 1,5 kilometer lange strekninga mellom Skyggestein og Rødmyr. Reguleringsplanen åpner for å rette ut flere krappe svinger, som blant annet betyr at lengre kjøretøy (pr. idag er øvre begrensning på 13 meters lengde) får mulighet til å bruke vegen. Reguleringsplanen viser veg med sideareal, kryssløsninger, avkjørsel til utfartsparkering og vanntårn, faunapassasje, midlertidig anleggsbelte med mer. </w:t>
              </w:r>
            </w:p>
            <w:p>
              <w:pPr>
                <w:spacing w:after="160"/>
              </w:pPr>
              <w:r>
                <w:drawing>
                  <wp:inline distT="0" distB="0" distL="0" distR="0">
                    <wp:extent cx="6353175" cy="3028950"/>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4427855be2ef4f4e"/>
                            <a:srcRect/>
                            <a:stretch>
                              <a:fillRect/>
                            </a:stretch>
                          </pic:blipFill>
                          <pic:spPr bwMode="auto">
                            <a:xfrm>
                              <a:off x="0" y="0"/>
                              <a:ext cx="6353175" cy="3028950"/>
                            </a:xfrm>
                            <a:prstGeom prst="rect">
                              <a:avLst/>
                            </a:prstGeom>
                          </pic:spPr>
                        </pic:pic>
                      </a:graphicData>
                    </a:graphic>
                  </wp:inline>
                </w:drawing>
              </w:r>
            </w:p>
            <w:p>
              <w:pPr>
                <w:spacing w:after="160"/>
              </w:pPr>
              <w:r>
                <w:rPr>
                  <w:i/>
                </w:rPr>
                <w:t xml:space="preserve">Reguleringsplankart, vedtatt i Bystyret 11.12.25</w:t>
              </w:r>
            </w:p>
            <w:p>
              <w:pPr>
                <w:spacing w:after="160"/>
              </w:pPr>
              <w:r>
                <w:rPr>
                  <w:b/>
                </w:rPr>
                <w:t xml:space="preserve">Planprosess og medvirkning</w:t>
              </w:r>
              <w:r>
                <w:br/>
              </w:r>
              <w:r>
                <w:t xml:space="preserve">Bystyret vedtok 11.12.25 detaljregulering for Trommedalsvegen, sak 156/25.</w:t>
              </w:r>
            </w:p>
            <w:p>
              <w:pPr>
                <w:spacing w:after="160"/>
              </w:pPr>
              <w:r>
                <w:t xml:space="preserve">Planenheten har mottatt 3 klager på reguleringsvedtaket. Den ene klagen, fra Klyve borettslag (vedlegg 1), klager på at planen ikke legger opp til tiltak som kompenserer for at Hulkavegen forbi Klyve får økt trafikk. De andre klagene, fra Klovholt grendelag (vedlegg 2) og fra Karl Martin Olsen (vedlegg 3), klager på at planen ikke legger opp til gang- og sykkelveg langs den utbedrede Trommedalsvegen.</w:t>
              </w:r>
            </w:p>
            <w:p>
              <w:pPr>
                <w:spacing w:after="160"/>
              </w:pPr>
              <w:r>
                <w:t xml:space="preserve">Begge temaene som er påklaget, økt trafikk over Klyve samt manglende GS-løsning langs Trommedalsvegen, har vært vurdert i saksframlegget som forelå for Bystyret (vedlegg 8).</w:t>
              </w:r>
            </w:p>
            <w:p>
              <w:pPr>
                <w:spacing w:after="160"/>
              </w:pPr>
              <w:r>
                <w:rPr>
                  <w:b/>
                </w:rPr>
                <w:t xml:space="preserve">Innhold i klagene</w:t>
              </w:r>
              <w:r>
                <w:br/>
              </w:r>
              <w:r>
                <w:rPr>
                  <w:u w:val="single"/>
                </w:rPr>
                <w:t xml:space="preserve">Klage fra Klyve 3 borettslag</w:t>
              </w:r>
              <w:r>
                <w:br/>
              </w:r>
              <w:r>
                <w:t xml:space="preserve">Klyve 3 borettslag mener konsekvensene for deres interesser ikke er tilstrekkelig utredet. De formelle utredningskravene i plan- og bygningsloven er ikke er fulgt, med henvisning både til forskrift om konsekvensutredninger og til rikspolitiske retningslinjer for barn og unge. Det vises også til at utredningspunkter som man ble enig om på oppstartsmøtet ikke har blitt fulgt opp i det videre planarbeidet.</w:t>
              </w:r>
            </w:p>
            <w:p>
              <w:pPr>
                <w:spacing w:after="160"/>
              </w:pPr>
              <w:r>
                <w:t xml:space="preserve">Hevder det er en saksbehandlingsfeil at ROS-analyse og støyrapport ikke fulgte saken som ble lagt fram for sluttbehandling.</w:t>
              </w:r>
            </w:p>
            <w:p>
              <w:pPr>
                <w:spacing w:after="160"/>
              </w:pPr>
              <w:r>
                <w:t xml:space="preserve">Temaet støy er mangelfullt utredet.</w:t>
              </w:r>
            </w:p>
            <w:p>
              <w:pPr>
                <w:spacing w:after="160"/>
              </w:pPr>
              <w:r>
                <w:rPr>
                  <w:u w:val="single"/>
                </w:rPr>
                <w:t xml:space="preserve">Klage fra Klovholt grendelag og fra Karl Martin Olsen</w:t>
              </w:r>
              <w:r>
                <w:br/>
              </w:r>
              <w:r>
                <w:t xml:space="preserve">Trommedalsvegen blir idag brukt av myke trafikanter. Hvis planen hadde lagt til rette for ny GS-veg ville den ha blitt brukt av flere. Utbedret veg, uten ny GS-veg, gjør at trafikksikkerheten blir dårligere for de som ferdes her.</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Klagebehandlingen vurderes ikke å ha konsekvenser for disse temaene.</w:t>
              </w:r>
            </w:p>
            <w:p>
              <w:pPr>
                <w:spacing w:after="160"/>
              </w:pPr>
              <w:r>
                <w:rPr>
                  <w:b/>
                </w:rPr>
                <w:t xml:space="preserve">Kommunedirektørens vurdering </w:t>
              </w:r>
              <w:r>
                <w:br/>
              </w:r>
              <w:r>
                <w:rPr>
                  <w:u w:val="single"/>
                </w:rPr>
                <w:t xml:space="preserve">Klagenes berettigelse</w:t>
              </w:r>
              <w:r>
                <w:br/>
              </w:r>
              <w:r>
                <w:t xml:space="preserve">Alle klagene er innkommet innen fristen (jf. forvaltningsloven § 30) og partene vurderes å ha rettslig klageinteresse (jf. forvaltningslovens § 28). Alle klagene tas derfor opp til realitetsbehandling.</w:t>
              </w:r>
            </w:p>
            <w:p>
              <w:pPr>
                <w:spacing w:after="160"/>
              </w:pPr>
              <w:r>
                <w:rPr>
                  <w:u w:val="single"/>
                </w:rPr>
                <w:t xml:space="preserve">Manglende GS-løsning langs Trommedalsvegen (felles vurdering av vedlegg 2 og 3)</w:t>
              </w:r>
              <w:r>
                <w:br/>
              </w:r>
              <w:r>
                <w:t xml:space="preserve">Skien kommune har i saksutskriften (vedlegg 8) vurdert behovet for GS-veg. Trommedalsvegen er en strekning som i liten grad blir brukt som skoleveg og potensialet for sykling på arbeidsvegen er relativt begrenset, noe forslagsstiller bekrefter med utførte trafikktellinger. Grunnskoleelever som benytter dette som skolevei har rett til fri skoleskyss, siden avstandene mellom hjem og skole er mer enn 4 kilometer. Klagerens synspunkt om at jo bedre man legger til rette for gående og syklende dess flere vil sykle og gå, støttes fullt ut av kommunedirektøren. Likevel fastholdes tidligere vurderinger om at kostnader og terreng-inngrepene ikke forsvarer nytteverdien av å etablere GS-veg. Som tiltak for syklende legger planen derimot opp til utvida skulder i den største motbakken, opp fra Rødmyr, som vist i denne prinsippskissen:</w:t>
              </w:r>
            </w:p>
            <w:p>
              <w:pPr>
                <w:spacing w:after="160"/>
              </w:pPr>
              <w:r>
                <w:drawing>
                  <wp:inline distT="0" distB="0" distL="0" distR="0">
                    <wp:extent cx="5572125" cy="3267075"/>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7f6dee7214e9422c"/>
                            <a:srcRect/>
                            <a:stretch>
                              <a:fillRect/>
                            </a:stretch>
                          </pic:blipFill>
                          <pic:spPr bwMode="auto">
                            <a:xfrm>
                              <a:off x="0" y="0"/>
                              <a:ext cx="5572125" cy="3267075"/>
                            </a:xfrm>
                            <a:prstGeom prst="rect">
                              <a:avLst/>
                            </a:prstGeom>
                          </pic:spPr>
                        </pic:pic>
                      </a:graphicData>
                    </a:graphic>
                  </wp:inline>
                </w:drawing>
              </w:r>
            </w:p>
            <w:p>
              <w:pPr>
                <w:spacing w:after="160"/>
              </w:pPr>
              <w:r>
                <w:t xml:space="preserve">De tverrgående gangforbindelsene mellom Skien Fritidspark og marka ved Hvitsteintjern er vurdert som viktigere enn de langsgående, og dette er hensynstatt med ny planfri undergang mellom utfartsparkering og marka.</w:t>
              </w:r>
            </w:p>
            <w:p>
              <w:pPr>
                <w:spacing w:after="160"/>
              </w:pPr>
              <w:r>
                <w:t xml:space="preserve">Kommunedirektøren slutter seg til forslagsstillers kommentarer til klagen (vedlegg 16).</w:t>
              </w:r>
            </w:p>
            <w:p>
              <w:pPr>
                <w:spacing w:after="160"/>
              </w:pPr>
              <w:r>
                <w:rPr>
                  <w:u w:val="single"/>
                </w:rPr>
                <w:t xml:space="preserve">Manglende kompenserende tiltak for bomiljø på Klyve</w:t>
              </w:r>
              <w:r>
                <w:br/>
              </w:r>
              <w:r>
                <w:t xml:space="preserve">Skien kommune vil hevde at påvirkning av bomiljøer i tiltakets influensområde har vært vurderingstema i alle fasene av denne planprosessen, fra oppstartmøtet, til innspillsfase, offentlig ettersyn og de politiske behandlingene av saken. Etter vårt skjønn har saksbehandlingsrutiner, lovanvendelse, dokumentasjonskrav samt krav til offentliggjøring av dokumenter vært utført på en riktig, tilstrekkelig og balansert måte. Som underbygging vises til saksutskrift (vedlegg 8) samt trafikale utredninger (vedlegg 9 og 10). Klagen er forelagt forslagsstiller, som har gjort sin vurdering av klagen (vedlegg 14), en vurdering som kommunedirektøren slutter seg til. Trafikal utredning (vedlegg 8) oppsummerer med at Hulkavegen som går forbi Klyve vil få økt trafikk og at det muligens bør vurderes tiltak for å bedre situasjonen eller for å begrense trafikken.  Kommunens vurdering ved sluttbehandling av reguleringsplanen var at trafikkøkningen som følge av planen ikke genererer strakstiltak såpass langt utenfor planområdet. Derimot er trafikken forbi boområder på Klyve noe man skal ha fokus på i den pågående kommuneplanprosessen for "ny eller forbedret forbindelse mellom FV3294 Trommedalsvegen og FV32 Menstadbrua". Det samme gjelder når det startes reguleringsplanarbeid for framtidige næringsarealer langs Hulkavegen. Kommunedirektøren holder fast ved vurderingen fra sluttbehandlingen. Hulkavegen forbi Klyve har fartshumper og fartsgrense 40 km/t, og det er vanskelig å se åpenbare trafikale tiltak som kommunen burde ha stilt samtidighetskrav til, i forbindelse med reguleringsplanarbeidet. </w:t>
              </w:r>
            </w:p>
            <w:p>
              <w:pPr>
                <w:spacing w:after="160"/>
              </w:pPr>
              <w:r>
                <w:t xml:space="preserve">Det hevdes å være en saksbehandlingsfeil at ROS-analyse og støyutredning ikke var vedlagt den politiske saken som var framlagt til sluttbehandling. Kommunedirektørens kommentar til det er at begge dokumentene fulgte som vedlegg til 1. gangs behandling, og har vært godt tilgjengelig som en del av beslutningsgrunnlaget.</w:t>
              </w:r>
            </w:p>
            <w:p>
              <w:pPr>
                <w:spacing w:after="160"/>
              </w:pPr>
              <w:r>
                <w:t xml:space="preserve">Manglende støyvurdering er spesifikt nevnt i klagen, og forslagsstiller har derfor supplert med en støyutredning (vedlegg 15) i forbindelse med klagesaksbehandlingen. Støyutredningens beregninger tilsier at støy som følge av tiltakene i reguleringsplanen ikke økes merkbart og det underbygger de vurderingene som tidligere er gjort i saken. En merkbar økning av støy, det vil si 2-3 dB, vil kreve en trafikkøkning på 60 - 100%, mens beregnet trafikkøkning som følge av planen er på 6 %. Det vil si at detaljregulering for FV 3294 Trommedalsvegen ikke utløser krav til konkrete støytiltak for Klyve 3 borettslag.</w:t>
              </w:r>
            </w:p>
            <w:p>
              <w:pPr>
                <w:spacing w:after="160"/>
              </w:pPr>
              <w:r>
                <w:rPr>
                  <w:b/>
                </w:rPr>
                <w:t xml:space="preserve">Kommunedirektørens konklusjon</w:t>
              </w:r>
              <w:r>
                <w:br/>
              </w:r>
              <w:r>
                <w:t xml:space="preserve">Kommunedirektøren mener de påklagede forhold har blitt tilstrekkelig belyst i saken, og kan ikke se klagene frambringer nye momenter som gir grunnlag for å omgjøre Bystyret sitt reguleringsvedtak av 11.12.25.</w:t>
              </w:r>
            </w:p>
            <w:p>
              <w:pPr>
                <w:spacing w:after="160"/>
              </w:pPr>
              <w:r>
                <w:t xml:space="preserve">Kommunedirektøren anbefaler at saken oversendes Statsforvalteren for endelig behandling.</w:t>
              </w:r>
              <w:r>
                <w:br/>
              </w:r>
              <w:r>
                <w:t xml:space="preserve"> </w:t>
              </w:r>
            </w:p>
            <w:p>
              <w:pPr>
                <w:spacing w:after="160"/>
              </w:pP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1 - klage fra Klyve 3 borettslag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2 - klage fra Klovholt grendelag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3 - klage fra Karl Martin Olsen</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4 - plankart</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5 - bestemmelser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6 - planbeskrivelse</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7 - saksutskrift 1. gangs behandling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8 - saksutskrift sluttbehandling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9 - tilleggsnotat til trafikale virkninger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10 - trafikale virkninger</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11 - innspill fra Klyve 3 borettslag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12 - innpill fra Syklistenes landsforening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13 - innspill fra lokalutvalg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14 - forslagsstillers kommentar til klage fra Klyve 3 borettslag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15 - supplerende støyvurdering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16 - forslagsstillers kommentar til klage fra Klovholt grendelag</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image" Target="/media/image.jpg" Id="R9e9aec92e7944588" /><Relationship Type="http://schemas.openxmlformats.org/officeDocument/2006/relationships/image" Target="/media/image2.jpg" Id="R4427855be2ef4f4e" /><Relationship Type="http://schemas.openxmlformats.org/officeDocument/2006/relationships/image" Target="/media/image3.jpg" Id="R7f6dee7214e942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Detaljregulering for FV 3294 Trommedalsvegen - klager på reguleringsplan</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