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25/19985</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12</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Marcus Dalene-Hafredal</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09.03.2026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24/26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14.04.2026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Klagesak - gbnr 300/344 - Byfogd Paus gate 10C - antennesystem</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1"/>
                </w:numPr>
                <w:spacing w:after="160"/>
              </w:pPr>
              <w:r>
                <w:t xml:space="preserve">Klage fra Fortuna Borettslag og Odd Anders Nilsen (begge med adresse i Byfogd Paus gate 10A), datert 04.12.2025, tas ikke til følge. Klagen inneholder ingen nye momenter som er avgjørende for vedtakets innhold.</w:t>
              </w:r>
            </w:p>
            <w:p>
              <w:pPr>
                <w:pStyle w:val="ListParagraph"/>
                <w:numPr>
                  <w:ilvl w:val="0"/>
                  <w:numId w:val="1"/>
                </w:numPr>
                <w:spacing w:after="160"/>
              </w:pPr>
              <w:r>
                <w:t xml:space="preserve">Saken sendes til Statsforvalteren i Vestfold og Telemark for endelig avgjørelse.</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p>
            <w:p>
              <w:pPr>
                <w:pStyle w:val="ListParagraph"/>
                <w:numPr>
                  <w:ilvl w:val="0"/>
                  <w:numId w:val="2"/>
                </w:numPr>
                <w:spacing w:after="160"/>
              </w:pPr>
              <w:r>
                <w:rPr>
                  <w:b/>
                </w:rPr>
                <w:t xml:space="preserve">29.08.2025:</w:t>
              </w:r>
              <w:r>
                <w:t xml:space="preserve"> Kommunen mottok søknad fra Lyse Tele AS om oppføring av et antennesystem på taket av Byfogd Paus gate 10C.</w:t>
              </w:r>
            </w:p>
            <w:p>
              <w:pPr>
                <w:pStyle w:val="ListParagraph"/>
                <w:numPr>
                  <w:ilvl w:val="0"/>
                  <w:numId w:val="2"/>
                </w:numPr>
                <w:spacing w:after="160"/>
              </w:pPr>
              <w:r>
                <w:rPr>
                  <w:b/>
                </w:rPr>
                <w:t xml:space="preserve">11.09.2025: </w:t>
              </w:r>
              <w:r>
                <w:t xml:space="preserve">Kommunen ga tilbakemelding om at tiltaket er i strid med høydebegrensningene i reguleringsplanen, og dermed er avhengig av dispensasjon.</w:t>
              </w:r>
            </w:p>
            <w:p>
              <w:pPr>
                <w:pStyle w:val="ListParagraph"/>
                <w:numPr>
                  <w:ilvl w:val="0"/>
                  <w:numId w:val="2"/>
                </w:numPr>
                <w:spacing w:after="160"/>
              </w:pPr>
              <w:r>
                <w:rPr>
                  <w:b/>
                </w:rPr>
                <w:t xml:space="preserve">22.10.2025: </w:t>
              </w:r>
              <w:r>
                <w:t xml:space="preserve">Kommunen mottok søknad om dispensasjon fra reguleringsplanens høydebestemmelse.</w:t>
              </w:r>
            </w:p>
            <w:p>
              <w:pPr>
                <w:pStyle w:val="ListParagraph"/>
                <w:numPr>
                  <w:ilvl w:val="0"/>
                  <w:numId w:val="2"/>
                </w:numPr>
                <w:spacing w:after="160"/>
              </w:pPr>
              <w:r>
                <w:rPr>
                  <w:b/>
                </w:rPr>
                <w:t xml:space="preserve">14.11.2025: </w:t>
              </w:r>
              <w:r>
                <w:t xml:space="preserve">Søknaden om tillatelse og dispensasjon ble innvilget.</w:t>
              </w:r>
            </w:p>
            <w:p>
              <w:pPr>
                <w:pStyle w:val="ListParagraph"/>
                <w:numPr>
                  <w:ilvl w:val="0"/>
                  <w:numId w:val="2"/>
                </w:numPr>
                <w:spacing w:after="160"/>
              </w:pPr>
              <w:r>
                <w:rPr>
                  <w:b/>
                </w:rPr>
                <w:t xml:space="preserve">04.12.2025:</w:t>
              </w:r>
              <w:r>
                <w:t xml:space="preserve"> Vedtaket ble påklaget av Odd Anders Nilsen og Fortuna Borettslag v/ styreleder Natalia Katsarskaya.</w:t>
              </w:r>
            </w:p>
            <w:p>
              <w:pPr>
                <w:spacing w:after="160"/>
              </w:pPr>
              <w:r>
                <w:drawing>
                  <wp:inline distT="0" distB="0" distL="0" distR="0">
                    <wp:extent cx="3933824" cy="3933824"/>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827ecf249254491e"/>
                            <a:srcRect/>
                            <a:stretch>
                              <a:fillRect/>
                            </a:stretch>
                          </pic:blipFill>
                          <pic:spPr bwMode="auto">
                            <a:xfrm>
                              <a:off x="0" y="0"/>
                              <a:ext cx="3933824" cy="3933824"/>
                            </a:xfrm>
                            <a:prstGeom prst="rect">
                              <a:avLst/>
                            </a:prstGeom>
                          </pic:spPr>
                        </pic:pic>
                      </a:graphicData>
                    </a:graphic>
                  </wp:inline>
                </w:drawing>
              </w:r>
            </w:p>
            <w:p>
              <w:pPr>
                <w:spacing w:after="160"/>
              </w:pPr>
              <w:r>
                <w:rPr>
                  <w:i/>
                </w:rPr>
                <w:t xml:space="preserve">Figur 1. Oversiktskart som viser tiltakets plassering</w:t>
              </w:r>
            </w:p>
            <w:p>
              <w:pPr>
                <w:spacing w:after="160"/>
              </w:pPr>
              <w:r>
                <w:drawing>
                  <wp:inline distT="0" distB="0" distL="0" distR="0">
                    <wp:extent cx="3914775" cy="4143375"/>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e11d37b0fedc49c7"/>
                            <a:srcRect/>
                            <a:stretch>
                              <a:fillRect/>
                            </a:stretch>
                          </pic:blipFill>
                          <pic:spPr bwMode="auto">
                            <a:xfrm>
                              <a:off x="0" y="0"/>
                              <a:ext cx="3914775" cy="4143375"/>
                            </a:xfrm>
                            <a:prstGeom prst="rect">
                              <a:avLst/>
                            </a:prstGeom>
                          </pic:spPr>
                        </pic:pic>
                      </a:graphicData>
                    </a:graphic>
                  </wp:inline>
                </w:drawing>
              </w:r>
            </w:p>
            <w:p>
              <w:pPr>
                <w:spacing w:after="160"/>
              </w:pPr>
              <w:r>
                <w:rPr>
                  <w:i/>
                </w:rPr>
                <w:t xml:space="preserve">Figur 2. Eiendommen omfattes av reguleringsplan nr. 2013991, Fortunakvartalet, vedtatt 23.05.2013. Den aktuelle delen av eiendommen er regulert til kombinert boligbebyggelse og anleggsformål, og ligger innenfor planområde KO3. Eiendommen ligger også innenfor hensynssone for bevaring av kulturmiljø i kommunedelplanen for kulturminnevern.</w:t>
              </w:r>
            </w:p>
            <w:p>
              <w:pPr>
                <w:spacing w:after="160"/>
              </w:pPr>
              <w:r>
                <w:drawing>
                  <wp:inline distT="0" distB="0" distL="0" distR="0">
                    <wp:extent cx="4343400" cy="3638550"/>
                    <wp:effectExtent l="19050" t="0" r="0" b="0"/>
                    <wp:docPr id="4"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01de4fe1956e40a0"/>
                            <a:srcRect/>
                            <a:stretch>
                              <a:fillRect/>
                            </a:stretch>
                          </pic:blipFill>
                          <pic:spPr bwMode="auto">
                            <a:xfrm>
                              <a:off x="0" y="0"/>
                              <a:ext cx="4343400" cy="3638550"/>
                            </a:xfrm>
                            <a:prstGeom prst="rect">
                              <a:avLst/>
                            </a:prstGeom>
                          </pic:spPr>
                        </pic:pic>
                      </a:graphicData>
                    </a:graphic>
                  </wp:inline>
                </w:drawing>
              </w:r>
            </w:p>
            <w:p>
              <w:pPr>
                <w:spacing w:after="160"/>
              </w:pPr>
              <w:r>
                <w:rPr>
                  <w:i/>
                </w:rPr>
                <w:t xml:space="preserve">Figur 3. Skråfoto av det aktuelle bygget</w:t>
              </w:r>
            </w:p>
            <w:p>
              <w:pPr>
                <w:spacing w:after="160"/>
              </w:pPr>
              <w:r>
                <w:drawing>
                  <wp:inline distT="0" distB="0" distL="0" distR="0">
                    <wp:extent cx="4333875" cy="4581525"/>
                    <wp:effectExtent l="19050" t="0" r="0" b="0"/>
                    <wp:docPr id="5"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8ab41f11c3184c26"/>
                            <a:srcRect/>
                            <a:stretch>
                              <a:fillRect/>
                            </a:stretch>
                          </pic:blipFill>
                          <pic:spPr bwMode="auto">
                            <a:xfrm>
                              <a:off x="0" y="0"/>
                              <a:ext cx="4333875" cy="4581525"/>
                            </a:xfrm>
                            <a:prstGeom prst="rect">
                              <a:avLst/>
                            </a:prstGeom>
                          </pic:spPr>
                        </pic:pic>
                      </a:graphicData>
                    </a:graphic>
                  </wp:inline>
                </w:drawing>
              </w:r>
            </w:p>
            <w:p>
              <w:pPr>
                <w:spacing w:after="160"/>
              </w:pPr>
              <w:r>
                <w:rPr>
                  <w:i/>
                </w:rPr>
                <w:t xml:space="preserve">Figur 4. Situasjonsplan</w:t>
              </w:r>
            </w:p>
            <w:p>
              <w:pPr>
                <w:spacing w:after="160"/>
              </w:pPr>
              <w:r>
                <w:drawing>
                  <wp:inline distT="0" distB="0" distL="0" distR="0">
                    <wp:extent cx="4314825" cy="4010025"/>
                    <wp:effectExtent l="19050" t="0" r="0" b="0"/>
                    <wp:docPr id="6" name="Picture 6" descr=""/>
                    <wp:cNvGraphicFramePr>
                      <a:graphicFrameLocks noChangeAspect="1"/>
                    </wp:cNvGraphicFramePr>
                    <a:graphic>
                      <a:graphicData uri="http://schemas.openxmlformats.org/drawingml/2006/picture">
                        <pic:pic>
                          <pic:nvPicPr>
                            <pic:cNvPr id="6" name="" descr=""/>
                            <pic:cNvPicPr>
                              <a:picLocks noChangeAspect="1" noChangeArrowheads="1"/>
                            </pic:cNvPicPr>
                          </pic:nvPicPr>
                          <pic:blipFill>
                            <a:blip r:embed="R2c6542820a4d4b55"/>
                            <a:srcRect/>
                            <a:stretch>
                              <a:fillRect/>
                            </a:stretch>
                          </pic:blipFill>
                          <pic:spPr bwMode="auto">
                            <a:xfrm>
                              <a:off x="0" y="0"/>
                              <a:ext cx="4314825" cy="4010025"/>
                            </a:xfrm>
                            <a:prstGeom prst="rect">
                              <a:avLst/>
                            </a:prstGeom>
                          </pic:spPr>
                        </pic:pic>
                      </a:graphicData>
                    </a:graphic>
                  </wp:inline>
                </w:drawing>
              </w:r>
            </w:p>
            <w:p>
              <w:pPr>
                <w:spacing w:after="160"/>
              </w:pPr>
              <w:r>
                <w:rPr>
                  <w:i/>
                </w:rPr>
                <w:t xml:space="preserve">Figur 5. Illustrasjon av tiltaket</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1. Klagens innhold og kommunedirektørens vurderinger</w:t>
              </w:r>
            </w:p>
            <w:p>
              <w:pPr>
                <w:spacing w:after="160"/>
              </w:pPr>
              <w:r>
                <w:rPr>
                  <w:b/>
                  <w:u w:val="single"/>
                </w:rPr>
                <w:t xml:space="preserve">1.1 Klagens innhold</w:t>
              </w:r>
              <w:r>
                <w:br/>
              </w:r>
              <w:r>
                <w:t xml:space="preserve">Det er tre ukers klagefrist og klagen er rettidig, jf. forvaltningsloven (fvl.) § 29. Innsendt klage oppfyller de materielle kravene i fvl. § 32.</w:t>
              </w:r>
            </w:p>
            <w:p>
              <w:pPr>
                <w:spacing w:after="160"/>
              </w:pPr>
              <w:r>
                <w:t xml:space="preserve">Klagen er innsendt av Natalia Katsarskaya og Odd Anders Nilsen. Katsarskaya er styreleder i Fortuna Borettslag i Byfogd Paus gate 10A, og klager på vegne av borettslaget. Nilsen er beboer i et sameie på samme adresse, og klager på vegne av seg selv som privatperson. Byfogd Paus gate 10A er naboeiendommen til Byfogd Paus gate 10C, hvor antennesystemet er tillatt oppført. Det vurderes derfor at klagerne har klagerett etter fvl. § 28 første ledd.</w:t>
              </w:r>
            </w:p>
            <w:p>
              <w:pPr>
                <w:spacing w:after="160"/>
              </w:pPr>
              <w:r>
                <w:rPr>
                  <w:u w:val="single"/>
                </w:rPr>
                <w:t xml:space="preserve">Oppsummering av klagernes anførsler:</w:t>
              </w:r>
            </w:p>
            <w:p>
              <w:pPr>
                <w:pStyle w:val="ListParagraph"/>
                <w:numPr>
                  <w:ilvl w:val="0"/>
                  <w:numId w:val="3"/>
                </w:numPr>
                <w:spacing w:after="160"/>
              </w:pPr>
              <w:r>
                <w:rPr>
                  <w:b/>
                </w:rPr>
                <w:t xml:space="preserve">Overskridelse av tillatt byggehøyde: </w:t>
              </w:r>
              <w:r>
                <w:t xml:space="preserve">Tiltaket er i strid med reguleringsplanen og krever dispensasjon. Vilkårene for å gi dispensasjon er ikke oppfylt. Tiltaket vil ha visuell og estetisk påvirkning på området, og det foreligger ikke tilstrekkelig grunnlag for å hevde at fordelene ved å gi dispensasjon klart overstiger ulempene.</w:t>
              </w:r>
            </w:p>
            <w:p>
              <w:pPr>
                <w:pStyle w:val="ListParagraph"/>
                <w:numPr>
                  <w:ilvl w:val="0"/>
                  <w:numId w:val="3"/>
                </w:numPr>
                <w:spacing w:after="160"/>
              </w:pPr>
              <w:r>
                <w:rPr>
                  <w:b/>
                </w:rPr>
                <w:t xml:space="preserve">Potensielle helseplager knyttet til stråling: </w:t>
              </w:r>
              <w:r>
                <w:t xml:space="preserve">Det uttrykkes bekymring for helsefarlig stråling fra antennene, med mulige symptomer som hodepine, søvnforstyrrelser og stress. Det nærmeste soverommet ligger kun fem meter fra antenneplasseringen. Tiltaket kan skape utrygghet og redusert livskvalitet.</w:t>
              </w:r>
            </w:p>
            <w:p>
              <w:pPr>
                <w:pStyle w:val="ListParagraph"/>
                <w:numPr>
                  <w:ilvl w:val="0"/>
                  <w:numId w:val="3"/>
                </w:numPr>
                <w:spacing w:after="160"/>
              </w:pPr>
              <w:r>
                <w:rPr>
                  <w:b/>
                </w:rPr>
                <w:t xml:space="preserve">Interessekonflikt og økonomiske motiver:</w:t>
              </w:r>
              <w:r>
                <w:t xml:space="preserve"> Økonomisk gevinst for utbygger kan ikke alene begrunne en tilsidesettelse av reguleringsbestemmelser. Plan- og bygningsloven skal ivareta allmenne interesser, og folkehelseloven understreker at samfunnsutvikling skal fremme folkehelse og trivsel. Tiltak som skaper utrygghet og helsebekymringer strider mot dette formålet.</w:t>
              </w:r>
            </w:p>
            <w:p>
              <w:pPr>
                <w:pStyle w:val="ListParagraph"/>
                <w:numPr>
                  <w:ilvl w:val="0"/>
                  <w:numId w:val="3"/>
                </w:numPr>
                <w:spacing w:after="160"/>
              </w:pPr>
              <w:r>
                <w:rPr>
                  <w:b/>
                </w:rPr>
                <w:t xml:space="preserve">Alternativ plassering: </w:t>
              </w:r>
              <w:r>
                <w:t xml:space="preserve">Subsidiært, dersom de øvrige anførslene ikke fører frem, bes det om at antennene plasseres på den andre siden av bygget. Dette vil ivareta hensynene til estetikk, helse og trivsel i større grad.</w:t>
              </w:r>
            </w:p>
            <w:p>
              <w:pPr>
                <w:spacing w:after="160"/>
              </w:pPr>
              <w:r>
                <w:t xml:space="preserve">Se vedlegg nr. 1 for å lese klagen i sin helhet.</w:t>
              </w:r>
            </w:p>
            <w:p>
              <w:pPr>
                <w:spacing w:after="160"/>
              </w:pPr>
              <w:r>
                <w:t xml:space="preserve">Tiltakshaver har fått mulighet til å uttale seg til klagen, men kommunen har ikke mottatt noen uttalelse.</w:t>
              </w:r>
            </w:p>
            <w:p>
              <w:pPr>
                <w:spacing w:after="160"/>
              </w:pPr>
              <w:r>
                <w:rPr>
                  <w:b/>
                  <w:u w:val="single"/>
                </w:rPr>
                <w:t xml:space="preserve">1.2 Kommunedirektørens vurdering av klage</w:t>
              </w:r>
              <w:r>
                <w:br/>
              </w:r>
              <w:r>
                <w:t xml:space="preserve">Klagesaken gjelder søknad om oppføring av et antennesystem på taket av Byfogd Paus gate 10C. Reguleringsplanens pkt. 3.2 fastsetter maksimumshøyder for område KO3, hvor tiltaket skal plasseres:</w:t>
              </w:r>
            </w:p>
            <w:p>
              <w:pPr>
                <w:spacing w:after="160"/>
              </w:pPr>
              <w:r>
                <w:drawing>
                  <wp:inline distT="0" distB="0" distL="0" distR="0">
                    <wp:extent cx="3600450" cy="2886075"/>
                    <wp:effectExtent l="19050" t="0" r="0" b="0"/>
                    <wp:docPr id="8"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36e6b330819c4cb1"/>
                            <a:srcRect/>
                            <a:stretch>
                              <a:fillRect/>
                            </a:stretch>
                          </pic:blipFill>
                          <pic:spPr bwMode="auto">
                            <a:xfrm>
                              <a:off x="0" y="0"/>
                              <a:ext cx="3600450" cy="2886075"/>
                            </a:xfrm>
                            <a:prstGeom prst="rect">
                              <a:avLst/>
                            </a:prstGeom>
                          </pic:spPr>
                        </pic:pic>
                      </a:graphicData>
                    </a:graphic>
                  </wp:inline>
                </w:drawing>
              </w:r>
            </w:p>
            <w:p>
              <w:pPr>
                <w:spacing w:after="160"/>
              </w:pPr>
              <w:r>
                <w:t xml:space="preserve">Tiltaket ligger innenfor sone B. Maksimal kotehøyde er her 51 meter. Reguleringsplanen tillater at oppbygg for heis/trapp/sjakt, med grunnflate på inntil 40 m</w:t>
              </w:r>
              <w:r>
                <w:rPr>
                  <w:vertAlign w:val="superscript"/>
                </w:rPr>
                <w:t xml:space="preserve">2</w:t>
              </w:r>
              <w:r>
                <w:t xml:space="preserve">, kan gå opp til kote 52, men dette er ikke relevant i foreliggende sak.</w:t>
              </w:r>
            </w:p>
            <w:p>
              <w:pPr>
                <w:spacing w:after="160"/>
              </w:pPr>
              <w:r>
                <w:t xml:space="preserve">Tiltaket innebærer installasjon av to gravitasjonsfester med tilhørende antenner og teknisk skap på taket av bygget. Bygget ligger på kote 50,7. Antennene er 3,18 meter høye, mens det tekniske skapet er 2,1 meter høyt. Tiltaket vil dermed havne på kote 53,88 på det høyeste punktet, og overskrider maksimumshøyden med 2,88 meter. Tiltaket krever følgelig dispensasjon fra reguleringsplanens pkt. 3.2. I vedtaket har kommunen vurdert at vilkårene for å gi dispensasjon er oppfylt.</w:t>
              </w:r>
            </w:p>
            <w:p>
              <w:pPr>
                <w:spacing w:after="160"/>
              </w:pPr>
              <w:r>
                <w:drawing>
                  <wp:inline distT="0" distB="0" distL="0" distR="0">
                    <wp:extent cx="3781425" cy="3190875"/>
                    <wp:effectExtent l="19050" t="0" r="0" b="0"/>
                    <wp:docPr id="9"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0f392d4211e64933"/>
                            <a:srcRect/>
                            <a:stretch>
                              <a:fillRect/>
                            </a:stretch>
                          </pic:blipFill>
                          <pic:spPr bwMode="auto">
                            <a:xfrm>
                              <a:off x="0" y="0"/>
                              <a:ext cx="3781425" cy="3190875"/>
                            </a:xfrm>
                            <a:prstGeom prst="rect">
                              <a:avLst/>
                            </a:prstGeom>
                          </pic:spPr>
                        </pic:pic>
                      </a:graphicData>
                    </a:graphic>
                  </wp:inline>
                </w:drawing>
              </w:r>
            </w:p>
            <w:p>
              <w:pPr>
                <w:spacing w:after="160"/>
              </w:pPr>
              <w:r>
                <w:rPr>
                  <w:i/>
                </w:rPr>
                <w:t xml:space="preserve">Figur 6. Tegning av antennene</w:t>
              </w:r>
            </w:p>
            <w:p>
              <w:pPr>
                <w:spacing w:after="160"/>
              </w:pPr>
              <w:r>
                <w:drawing>
                  <wp:inline distT="0" distB="0" distL="0" distR="0">
                    <wp:extent cx="3219450" cy="3352800"/>
                    <wp:effectExtent l="19050" t="0" r="0" b="0"/>
                    <wp:docPr id="10"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aaef19b89daf4563"/>
                            <a:srcRect/>
                            <a:stretch>
                              <a:fillRect/>
                            </a:stretch>
                          </pic:blipFill>
                          <pic:spPr bwMode="auto">
                            <a:xfrm>
                              <a:off x="0" y="0"/>
                              <a:ext cx="3219450" cy="3352800"/>
                            </a:xfrm>
                            <a:prstGeom prst="rect">
                              <a:avLst/>
                            </a:prstGeom>
                          </pic:spPr>
                        </pic:pic>
                      </a:graphicData>
                    </a:graphic>
                  </wp:inline>
                </w:drawing>
              </w:r>
            </w:p>
            <w:p>
              <w:pPr>
                <w:spacing w:after="160"/>
              </w:pPr>
              <w:r>
                <w:rPr>
                  <w:i/>
                </w:rPr>
                <w:t xml:space="preserve">Figur 7. Tegning av teknisk skap</w:t>
              </w:r>
            </w:p>
            <w:p>
              <w:pPr>
                <w:spacing w:after="160"/>
              </w:pPr>
              <w:r>
                <w:rPr>
                  <w:u w:val="single"/>
                </w:rPr>
                <w:t xml:space="preserve">Nabomerknader</w:t>
              </w:r>
              <w:r>
                <w:br/>
              </w:r>
              <w:r>
                <w:t xml:space="preserve">I forbindelse med nabovarslingen av tiltaket kom det merknader fra Fortuna Borettslag og Ruth og Terje Jørgensen. Merknadene gjaldt i hovedsak bekymringer knyttet til estetikk og stråling. Se vedlegg nr. 9 for å lese merknadene i sin helhet, og vedlegg nr. 10 for å lese ansvarlig søkers svar på merknadene. Kommunen har kommentert merknadene i vedtaket.</w:t>
              </w:r>
            </w:p>
            <w:p>
              <w:pPr>
                <w:spacing w:after="160"/>
              </w:pPr>
              <w:r>
                <w:rPr>
                  <w:u w:val="single"/>
                </w:rPr>
                <w:t xml:space="preserve">Rettslig utgangspunkt</w:t>
              </w:r>
              <w:r>
                <w:br/>
              </w:r>
              <w:r>
                <w:t xml:space="preserve">Plan- og bygningsloven kapittel 19 åpner for at kommunen </w:t>
              </w:r>
              <w:r>
                <w:rPr>
                  <w:i/>
                </w:rPr>
                <w:t xml:space="preserve">kan </w:t>
              </w:r>
              <w:r>
                <w:t xml:space="preserve">gi varig eller midlertidig dispensasjon fra bestemmelser fastsatt i eller i medhold av loven. Det følger av lovens forarbeider, Ot.prp. nr. 32 (2007-2008) s. 242, at det ikke skal være kurant å fravike gjeldende planer. Kommunale arealplaner har som oftest blitt til gjennom omfattende beslutnings- og medvirkningsprosesser, og er vedtatt av kommunens øverste folkevalgte organ. Planene sikrer forutsigbarhet og ivaretar helhetlige planfaglige hensyn. Dispensasjonsadgangen er derfor en snever unntaksregel, og i henhold til pbl. § 19-2 annet ledd må to kumulative vilkår være oppfylt for å kunne gi dispensasjon:</w:t>
              </w:r>
            </w:p>
            <w:p>
              <w:pPr>
                <w:pStyle w:val="ListParagraph"/>
                <w:numPr>
                  <w:ilvl w:val="0"/>
                  <w:numId w:val="4"/>
                </w:numPr>
                <w:spacing w:after="160"/>
              </w:pPr>
              <w:r>
                <w:t xml:space="preserve">Hensynene bak bestemmelsen det dispenseres fra, hensynene i lovens formålsbestemmelse eller nasjonale eller regionale interesser, må ikke bli vesentlig tilsidesatt.</w:t>
              </w:r>
            </w:p>
            <w:p>
              <w:pPr>
                <w:pStyle w:val="ListParagraph"/>
                <w:numPr>
                  <w:ilvl w:val="0"/>
                  <w:numId w:val="4"/>
                </w:numPr>
                <w:spacing w:after="160"/>
              </w:pPr>
              <w:r>
                <w:t xml:space="preserve">Fordelene ved å gi dispensasjon må være klart større enn ulempene.</w:t>
              </w:r>
            </w:p>
            <w:p>
              <w:pPr>
                <w:spacing w:after="160"/>
              </w:pPr>
              <w:r>
                <w:t xml:space="preserve">Vurderingen av om de to vilkårene er oppfylt, beror på rettsanvendelse. Det er altså ikke en skjønnsmessig eller politisk vurdering.</w:t>
              </w:r>
            </w:p>
            <w:p>
              <w:pPr>
                <w:spacing w:after="160"/>
              </w:pPr>
              <w:r>
                <w:t xml:space="preserve">Selv om de rettslige vilkårene er oppfylt, er det ingen automatikk i at dispensasjonssøknaden innvilges. Dispensasjonsbestemmelsen er en “kan”-bestemmelse, som betyr at ingen har krav på å få dispensasjon. Dersom vilkårene er oppfylt, er det opp til kommunens skjønn å avgjøre om dispensasjonsadgangen skal benyttes.</w:t>
              </w:r>
            </w:p>
            <w:p>
              <w:pPr>
                <w:spacing w:after="160"/>
              </w:pPr>
              <w:r>
                <w:rPr>
                  <w:u w:val="single"/>
                </w:rPr>
                <w:t xml:space="preserve">Blir hensynene bak høydebestemmelsen, lovens formålsbestemmelse eller nasjonale eller regionale interesser vesentlig tilsidesatt?</w:t>
              </w:r>
              <w:r>
                <w:br/>
              </w:r>
              <w:r>
                <w:t xml:space="preserve">Hensynene bak reguleringsplanens bestemmelse om maksimumshøyde er primært å sikre en harmonisk og helhetlig bebyggelsesstruktur, i tillegg til å ivareta gode sol- og lysforhold i området. I kommunens vedtak er det vurdert at tiltaket ikke medfører en vesentlig tilsidesettelse av disse hensynene. Det er lagt vekt på at tiltaket er reversibelt, at antennene skal plasseres litt inn på taket, og at de kun opptar en liten prosentdel av takflaten. Det er derfor vurdert at tiltaket blir lite synlig fra gateplan og for nærliggende eiendommer, og at det heller ikke vil ha innvirkning på sol- eller lysforhold. Kommunedirektøren støtter seg til disse vurderingene, og mener at hensynene bak høydebestemmelsen ikke blir vesentlig tilsidesatt ved å gi dispensasjon.</w:t>
              </w:r>
            </w:p>
            <w:p>
              <w:pPr>
                <w:spacing w:after="160"/>
              </w:pPr>
              <w:r>
                <w:t xml:space="preserve">Kommunedirektøren kan heller ikke se at en dispensasjon medfører en vesentlig tilsidesettelse av hensynene i lovens formålsbestemmelse eller nasjonale eller regionale interesser.</w:t>
              </w:r>
            </w:p>
            <w:p>
              <w:pPr>
                <w:spacing w:after="160"/>
              </w:pPr>
              <w:r>
                <w:rPr>
                  <w:u w:val="single"/>
                </w:rPr>
                <w:t xml:space="preserve">Er fordelene ved å gi dispensasjon klart større enn ulempene?</w:t>
              </w:r>
              <w:r>
                <w:br/>
              </w:r>
              <w:r>
                <w:t xml:space="preserve">Videre er spørsmålet om fordelene ved å gi dispensasjon er klart større enn ulempene. I denne vurderingen må det foretas en avveining av fordelene og ulempene som dispensasjonen vil gi. I uttrykket “klart større” ligger det et krav om kvalifisert interesseovervekt, jf. Ot.prp. nr. 32 (2007-2008) s. 242. Det er ikke tilstrekkelig at ulempene er beskjedne - det må kunne påvises relevante fordeler som klart overstiger ulempene, jf. SOM-2015-3269.</w:t>
              </w:r>
            </w:p>
            <w:p>
              <w:pPr>
                <w:spacing w:after="160"/>
              </w:pPr>
              <w:r>
                <w:t xml:space="preserve">I avveiningen er det relevant å vektlegge fordeler og ulemper for samfunnet, tiltakshaver og tredjeparter, men fordelene skal begrenses til forhold som ivaretar generelle areal- og ressursdisponeringshensyn, jf. Prop. 169 L (2020-2021) s. 55. For å kunne vektlegge sosialmedisinske, personlige eller menneskelige hensyn, må disse hensynene være “helt spesielle”, jf. Ot.prp. nr. 32 (2007-2008) s. 242. Årsaken til dette er at eierforhold som regel vil være skiftende, mens kommunen skal styre arealbruken i et langsiktig perspektiv (se SOM-2014-3266).</w:t>
              </w:r>
            </w:p>
            <w:p>
              <w:pPr>
                <w:spacing w:after="160"/>
              </w:pPr>
              <w:r>
                <w:t xml:space="preserve">I dispensasjonssøknaden ble det vist til viktigheten av å tilrettelegge for utbygging av mobiltelefoni, og at tiltaket vil gi bedre mobildekning i nærområdet (se vedlegg nr. 3 for å lese hele søknaden). I kommunens vedtak ble fordelene og ulempene vurdert slik:</w:t>
              </w:r>
            </w:p>
            <w:p>
              <w:pPr>
                <w:spacing w:after="160"/>
              </w:pPr>
              <w:r>
                <w:rPr>
                  <w:i/>
                </w:rPr>
                <w:t xml:space="preserve">"Etablering av antennene har et samfunnsnyttig formål ved at de skal bidra til å styrke områdets kommunikasjonsinfrastruktur. Det er selvfølgelig en ulempe at en installasjon ikke er i tråd med den gjeldende reguleringsplanen, men ettersom antennene kun utgjør en liten del av takflaten og at de er reversible, vurderer vi at de samfunnsmessige fordelene er klart større enn ulempene".</w:t>
              </w:r>
            </w:p>
            <w:p>
              <w:pPr>
                <w:spacing w:after="160"/>
              </w:pPr>
              <w:r>
                <w:t xml:space="preserve">I klagen er det anført at økonomisk gevinst for utbygger ikke alene kan begrunne en dispensasjon fra reguleringsbestemmelser. Dette er helt korrekt, og kommunedirektøren vil derfor understreke at økonomiske hensyn </w:t>
              </w:r>
              <w:r>
                <w:rPr>
                  <w:i/>
                </w:rPr>
                <w:t xml:space="preserve">ikke </w:t>
              </w:r>
              <w:r>
                <w:t xml:space="preserve">er vektlagt i kommunens dispensasjonsvurdering. </w:t>
              </w:r>
            </w:p>
            <w:p>
              <w:pPr>
                <w:spacing w:after="160"/>
              </w:pPr>
              <w:r>
                <w:t xml:space="preserve">Når det gjelder bekymringene knyttet til helsefarlig stråling fra antennene, viser kommunedirektøren til ansvarlig søkers svar på nabomerknadene:</w:t>
              </w:r>
            </w:p>
            <w:p>
              <w:pPr>
                <w:spacing w:after="160"/>
              </w:pPr>
              <w:r>
                <w:rPr>
                  <w:i/>
                </w:rPr>
                <w:t xml:space="preserve">"Vi erkjenner at avstanden til nærmeste nabogrense og områder hvor folk ferdes er relevant i forhold til å vurdere eksponering av ståling. Vår vurdering er at både plasseringen av antennene ikke vil utsette beboerne for helsemessige utfordringer/skader i forbindelse med stråling. Det er kjent at strålingseffekten avtar med økende avstand fra antennen. Eksponeringsnivåene vil være svært lave.</w:t>
              </w:r>
            </w:p>
            <w:p>
              <w:pPr>
                <w:spacing w:after="160"/>
              </w:pPr>
              <w:r>
                <w:rPr>
                  <w:i/>
                </w:rPr>
                <w:t xml:space="preserve">Antennene på masten vil bli plassert i høyden, noe som betyr at strålingen er rettet over områder der mennesker ferdes, for eksempel på veien. Målinger fra tilsvarende basestasjoner viser at strålingen på bakkenivå er langt under de grenseverdiene som er satt av norske myndigheter. Det er derfor ingen fare for helseskader fra strålingen for de som bor eller ferdes i nærheten. Vi har vedlagt en brosjyre fra Direktoratet for strålevern og atomsikkerhet (DSA) som gir detaljert informasjon om stråling fra basestasjoner.</w:t>
              </w:r>
            </w:p>
            <w:p>
              <w:pPr>
                <w:spacing w:after="160"/>
              </w:pPr>
              <w:r>
                <w:drawing>
                  <wp:inline distT="0" distB="0" distL="0" distR="0">
                    <wp:extent cx="5086350" cy="2857500"/>
                    <wp:effectExtent l="19050" t="0" r="0" b="0"/>
                    <wp:docPr id="11"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eb2410d3c912480e"/>
                            <a:srcRect/>
                            <a:stretch>
                              <a:fillRect/>
                            </a:stretch>
                          </pic:blipFill>
                          <pic:spPr bwMode="auto">
                            <a:xfrm>
                              <a:off x="0" y="0"/>
                              <a:ext cx="5086350" cy="2857500"/>
                            </a:xfrm>
                            <a:prstGeom prst="rect">
                              <a:avLst/>
                            </a:prstGeom>
                          </pic:spPr>
                        </pic:pic>
                      </a:graphicData>
                    </a:graphic>
                  </wp:inline>
                </w:drawing>
              </w:r>
            </w:p>
            <w:p>
              <w:pPr>
                <w:spacing w:after="160"/>
              </w:pPr>
              <w:r>
                <w:rPr>
                  <w:i/>
                </w:rPr>
                <w:t xml:space="preserve">Antenneretningen er ikke rettet direkte mot bakken men heller mot et punkt/område lenger unna. Nkom har utført en rekke målinger av trådløs teknologi over hele landet. Fokuset har vært å måle der folk ferdes mye eller har opphold, blant annet på skoler, i barnehage, private hjem og på arbeidsplasser. Måleresultatene viser at vi normalt eksponeres for nivåer godt under en 1/1000 av grenseverdiene de aller fleste steder. Det er kjent at når avstanden til utstyret øker, blir nivåene lavere.</w:t>
              </w:r>
            </w:p>
            <w:p>
              <w:pPr>
                <w:spacing w:after="160"/>
              </w:pPr>
              <w:r>
                <w:rPr>
                  <w:i/>
                </w:rPr>
                <w:t xml:space="preserve">Valgt plassering er grundig vurdert med tanke på å gi best mulig dekning samtidig som nivåene for stråling holdes så lave som mulig. Det er først nærmere enn ca. 10 meter, i samme høyde og rett foran en samling antenner, at vi kan bli utsatt for strålingsnivåer som er høyere enn grenseverdiene. Vi følger Nkoms nasjonale retningslinjer og anbefalinger slik at vi alltid sørger for at våre installasjoner oppfyller kravene til trygghet og sikkerhet tilknyttet stråling. Det er verdt å nevne at beboerne og de som ferdes i området kan være trygge på at Nkom regelmessig fører tilsyn med strålingsnivåene fra basestasjoner i hele landet, for å sikre at de er innenfor grenseverdiene".</w:t>
              </w:r>
            </w:p>
            <w:p>
              <w:pPr>
                <w:spacing w:after="160"/>
              </w:pPr>
              <w:r>
                <w:t xml:space="preserve">På bakgrunn av redegjørelsen mener kommunedirektøren at problematikken knyttet til stråling er vurdert og ivaretatt, og legger til grunn at tiltaket ikke medfører fare for helsemessige ulemper for beboerne i nærområdet. </w:t>
              </w:r>
            </w:p>
            <w:p>
              <w:pPr>
                <w:spacing w:after="160"/>
              </w:pPr>
              <w:r>
                <w:t xml:space="preserve">Kommunedirektøren mener at fordelene som er vektlagt i vedtaket er rettslig relevante, og at avveiningen opp mot ulempene er korrekt. Tiltaket vil gi klare samfunnsmessige fordeler i form av forbedret mobildekning i området, samtidig som ulempene for naboer og allmennheten er minimale. Kommunedirektøren vurderer derfor at fordelene ved å gi dispensasjon klart overstiger ulempene.</w:t>
              </w:r>
            </w:p>
            <w:p>
              <w:pPr>
                <w:spacing w:after="160"/>
              </w:pPr>
              <w:r>
                <w:rPr>
                  <w:u w:val="single"/>
                </w:rPr>
                <w:t xml:space="preserve">"Kan"-vurderingen</w:t>
              </w:r>
              <w:r>
                <w:br/>
              </w:r>
              <w:r>
                <w:t xml:space="preserve">Kommunedirektøren mener altså at begge de to rettslige dispensasjonsvilkårene er oppfylt, og at vedtaket dermed bygger på en korrekt rettsanvendelse. Når begge vilkårene er oppfylt, er det opp til kommunens skjønn om dispensasjonsadgangen skal benyttes. I vedtaket er det vurdert at tiltaket vil gi gode samfunnsmessige fordeler, og at det derfor er hensiktsmessig å innvilge søknaden. Kommunedirektøren støtter seg til skjønnsutøvelsen i vedtaket.</w:t>
              </w:r>
            </w:p>
            <w:p>
              <w:pPr>
                <w:spacing w:after="160"/>
              </w:pPr>
              <w:r>
                <w:rPr>
                  <w:u w:val="single"/>
                </w:rPr>
                <w:t xml:space="preserve">Subsidiær anførsel om alternativ plassering</w:t>
              </w:r>
              <w:r>
                <w:br/>
              </w:r>
              <w:r>
                <w:t xml:space="preserve">Subsidiært har klagerne anført at antennene bør plasseres på den andre siden av bygget. Til dette vil kommunedirektøren bemerke at søknaden er behandlet med utgangspunkt i den omsøkte plasseringen, og at dispensasjonsvilkårene er vurdert og funnet oppfylt for denne konkrete plasseringen.</w:t>
              </w:r>
            </w:p>
            <w:p>
              <w:pPr>
                <w:spacing w:after="160"/>
              </w:pPr>
              <w:r>
                <w:rPr>
                  <w:b/>
                  <w:u w:val="single"/>
                </w:rPr>
                <w:t xml:space="preserve">1.3 Kommunedirektørens konklusjon</w:t>
              </w:r>
              <w:r>
                <w:br/>
              </w:r>
              <w:r>
                <w:t xml:space="preserve">På bakgrunn av vurderingene ovenfor, kan kommunedirektøren ikke se at klagen inneholder nye momenter som er avgjørende for vedtakets innhold. Utvalg for teknisk sektor anbefales derfor å opprettholde påklaget vedtak.</w:t>
              </w:r>
            </w:p>
            <w:p>
              <w:pPr>
                <w:spacing w:after="160"/>
              </w:pPr>
              <w:r>
                <w:t xml:space="preserve">Kommunedirektøren vil avslutningsvis understreke at dersom utvalget finner grunnlag for å ta klagen til følge og endre det påklagede vedtaket, må det utarbeide en begrunnelse som tilfredsstiller kravene i forvaltningsloven § 25.</w:t>
              </w:r>
            </w:p>
            <w:p>
              <w:pPr>
                <w:spacing w:after="160"/>
              </w:pPr>
              <w:r>
                <w:t xml:space="preserve"> </w:t>
              </w:r>
            </w:p>
            <w:p>
              <w:pPr>
                <w:spacing w:after="160"/>
              </w:pP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t xml:space="preserve">Perspektiv</w:t>
                    </w:r>
                  </w:p>
                </w:tc>
                <w:tc>
                  <w:tcPr>
                    <w:vAlign w:val="center"/>
                  </w:tcPr>
                  <w:p>
                    <w:pPr>
                      <w:spacing w:after="160"/>
                    </w:pPr>
                    <w:r>
                      <w:t xml:space="preserve">Negativ </w:t>
                    </w:r>
                  </w:p>
                </w:tc>
                <w:tc>
                  <w:tcPr>
                    <w:vAlign w:val="center"/>
                  </w:tcPr>
                  <w:p>
                    <w:pPr>
                      <w:spacing w:after="160"/>
                    </w:pPr>
                    <w:r>
                      <w:t xml:space="preserve">Nøytral</w:t>
                    </w:r>
                  </w:p>
                </w:tc>
                <w:tc>
                  <w:tcPr>
                    <w:vAlign w:val="center"/>
                  </w:tcPr>
                  <w:p>
                    <w:pPr>
                      <w:spacing w:after="160"/>
                    </w:pPr>
                    <w:r>
                      <w:t xml:space="preserve">Positiv </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t xml:space="preserve"> </w:t>
              </w:r>
            </w:p>
            <w:p>
              <w:pPr>
                <w:spacing w:after="160"/>
              </w:pPr>
              <w:r>
                <w:rPr>
                  <w:b/>
                </w:rPr>
                <w:t xml:space="preserve">Referanser</w:t>
              </w:r>
              <w:r>
                <w:br/>
              </w:r>
              <w:r>
                <w:t xml:space="preserve">Forvaltningsloven §§ 25, 28, 29 og 32</w:t>
              </w:r>
              <w:r>
                <w:br/>
              </w:r>
              <w:r>
                <w:t xml:space="preserve">Plan- og bygningsloven § 19-2</w:t>
              </w:r>
              <w:r>
                <w:br/>
              </w:r>
              <w:r>
                <w:t xml:space="preserve">Reguleringsplan nr. 2013991, </w:t>
              </w:r>
              <w:r>
                <w:rPr>
                  <w:i/>
                </w:rPr>
                <w:t xml:space="preserve">Fortunakvartalet</w:t>
              </w:r>
              <w:r>
                <w:t xml:space="preserve">, vedtatt 23.05.2013</w:t>
              </w:r>
              <w:r>
                <w:br/>
              </w:r>
              <w:r>
                <w:t xml:space="preserve">SOM-2015-3269</w:t>
              </w:r>
              <w:r>
                <w:br/>
              </w:r>
              <w:r>
                <w:t xml:space="preserve">SOM-2014-3266</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 Klage på vedtak</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2. Påklaget vedtak</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3. Dispensasjonssøknad</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4. Følgebrev til søknad</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5. Situasjonskart</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6. Snittegning av antenner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7. Snittegning av teknisk skap</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8. Illustrasjoner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9. Nabomerknader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10. Svar på nabomerknader</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75d70e010ead4c77" /><Relationship Type="http://schemas.openxmlformats.org/officeDocument/2006/relationships/image" Target="/media/image.jpg" Id="R827ecf249254491e" /><Relationship Type="http://schemas.openxmlformats.org/officeDocument/2006/relationships/image" Target="/media/image2.jpg" Id="Re11d37b0fedc49c7" /><Relationship Type="http://schemas.openxmlformats.org/officeDocument/2006/relationships/image" Target="/media/image3.jpg" Id="R01de4fe1956e40a0" /><Relationship Type="http://schemas.openxmlformats.org/officeDocument/2006/relationships/image" Target="/media/image4.jpg" Id="R8ab41f11c3184c26" /><Relationship Type="http://schemas.openxmlformats.org/officeDocument/2006/relationships/image" Target="/media/image5.jpg" Id="R2c6542820a4d4b55" /><Relationship Type="http://schemas.openxmlformats.org/officeDocument/2006/relationships/image" Target="/media/image6.jpg" Id="R36e6b330819c4cb1" /><Relationship Type="http://schemas.openxmlformats.org/officeDocument/2006/relationships/image" Target="/media/image7.jpg" Id="R0f392d4211e64933" /><Relationship Type="http://schemas.openxmlformats.org/officeDocument/2006/relationships/image" Target="/media/image8.jpg" Id="Raaef19b89daf4563" /><Relationship Type="http://schemas.openxmlformats.org/officeDocument/2006/relationships/image" Target="/media/image9.jpg" Id="Reb2410d3c91248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Klagesak - gbnr 300/344 - Byfogd Paus gate 10C - antennesystem</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