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25/29029</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3</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Espen Nordstrand</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04.05.2026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26/26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19.05.2026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Grenland landbrukskontor - felles landbruksforvaltning med Bamble kommune </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1"/>
                </w:numPr>
                <w:spacing w:after="160"/>
              </w:pPr>
              <w:r>
                <w:t xml:space="preserve">Kommunedirektøren gis fullmakt til å igangsette arbeid med å innlemme Bamble kommune i det eksisterende vertskommunesamarbeidet for felles landbruksforvaltning for kommunene Skien, Porsgrunn og Siljan.</w:t>
              </w:r>
            </w:p>
            <w:p>
              <w:pPr>
                <w:pStyle w:val="ListParagraph"/>
                <w:numPr>
                  <w:ilvl w:val="0"/>
                  <w:numId w:val="1"/>
                </w:numPr>
                <w:spacing w:after="160"/>
              </w:pPr>
              <w:r>
                <w:t xml:space="preserve">Vertskommunesamarbeid som samarbeidsform, samt prinsippet om kostnadsfordeling etter uttak av tjenester, videreføres. Det legges til grunn at utvidelsen til fire kommuner, ikke medfører økte kostnader for kommunene i dagens vertskommunesamarbeid. </w:t>
              </w:r>
            </w:p>
            <w:p>
              <w:pPr>
                <w:pStyle w:val="ListParagraph"/>
                <w:numPr>
                  <w:ilvl w:val="0"/>
                  <w:numId w:val="1"/>
                </w:numPr>
                <w:spacing w:after="160"/>
              </w:pPr>
              <w:r>
                <w:t xml:space="preserve">Kommunedirektøren skal legge frem forslag til ny avtale om vertskommunesamarbeid for bystyrene og kommunestyrene i samarbeidskommunene som omfattes av avtalen i løpet av høsten 2026.</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Grenland landbrukskontor er felles landbrukskontor for Skien, Porsgrunn og Siljan kommuner. Landbrukskontoret er lokalisert i Skien og har 7 ansatte (5,6 årsverk). Samarbeidet har eksistert i mange år. Gjeldene samarbeidsavtale ble inngått i 2023. Skien kommune er vertskommune for samarbeidet.</w:t>
              </w:r>
            </w:p>
            <w:p>
              <w:pPr>
                <w:spacing w:after="160"/>
              </w:pPr>
              <w:r>
                <w:t xml:space="preserve">Landbruksenheten i Bamble kommune inngår i fagområde Areal og miljø og har inntil nylig hatt 2 ansatte i til sammen 1,5 årsverk. Fra januar 2026 er det én ansatt med ansvar for landbruksforvaltninga i Bamble kommune.</w:t>
              </w:r>
            </w:p>
            <w:p>
              <w:pPr>
                <w:spacing w:after="160"/>
              </w:pPr>
              <w:r>
                <w:t xml:space="preserve">I oktober 2025 vedtok kommunestyret i Bamble kommune følgende:</w:t>
              </w:r>
            </w:p>
            <w:p>
              <w:pPr>
                <w:pStyle w:val="ListParagraph"/>
                <w:numPr>
                  <w:ilvl w:val="0"/>
                  <w:numId w:val="2"/>
                </w:numPr>
                <w:spacing w:after="160"/>
              </w:pPr>
              <w:r>
                <w:rPr>
                  <w:i/>
                </w:rPr>
                <w:t xml:space="preserve">Bamble kommune går i dialog med Grenlandskommunene om mulighetene for å delta i samarbeidet Grenland landbrukskontor. </w:t>
              </w:r>
            </w:p>
            <w:p>
              <w:pPr>
                <w:pStyle w:val="ListParagraph"/>
                <w:numPr>
                  <w:ilvl w:val="0"/>
                  <w:numId w:val="2"/>
                </w:numPr>
                <w:spacing w:after="160"/>
              </w:pPr>
              <w:r>
                <w:rPr>
                  <w:i/>
                </w:rPr>
                <w:t xml:space="preserve">Kommunedirektøren får fullmakt til å inngå en forpliktende avtale om samarbeid. Avtalen skal utformes i tråd med den gjeldende samarbeidsavtalen for Grenland landbrukskontor.</w:t>
              </w:r>
            </w:p>
            <w:p>
              <w:pPr>
                <w:pStyle w:val="ListParagraph"/>
                <w:numPr>
                  <w:ilvl w:val="0"/>
                  <w:numId w:val="2"/>
                </w:numPr>
                <w:spacing w:after="160"/>
              </w:pPr>
              <w:r>
                <w:rPr>
                  <w:i/>
                </w:rPr>
                <w:t xml:space="preserve">Kommunedirektøren legger frem en ny sak når endelig avtale er inngått, slik at kommunestyret kan godkjenne avtalen og fatte nødvendige vedtak om delegasjon av myndighet til samarbeidet, i henhold til kommuneloven §§ 20-1 og 20-2.</w:t>
              </w:r>
            </w:p>
            <w:p>
              <w:pPr>
                <w:pStyle w:val="ListParagraph"/>
                <w:numPr>
                  <w:ilvl w:val="0"/>
                  <w:numId w:val="2"/>
                </w:numPr>
                <w:spacing w:after="160"/>
              </w:pPr>
              <w:r>
                <w:rPr>
                  <w:i/>
                </w:rPr>
                <w:t xml:space="preserve">Nåværende ordning for ettersøk i Bamble videreføres.</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En kommune kan overlate utførelsen av lovpålagte oppgaver til en annen kommune, jfr. kommuneloven § 20-1. Skien, Porsgrunn og Siljan kommuner har hatt et kommunalt vertskommunesamarbeid knyttet til felles landbruksforvaltning (Grenland landbrukskontor) i flere år. Vertskommunesamarbeidet innebærer at samarbeidskommunen ved vedtak i kommunestyret/bystyret, instruerer egen kommunedirektør til å delegere myndighet til kommunedirektøren i vertskommunen, jfr. kommuneloven § 20-2.</w:t>
              </w:r>
            </w:p>
            <w:p>
              <w:pPr>
                <w:spacing w:after="160"/>
              </w:pPr>
              <w:r>
                <w:rPr>
                  <w:u w:val="single"/>
                </w:rPr>
                <w:t xml:space="preserve">Samarbeidsform</w:t>
              </w:r>
            </w:p>
            <w:p>
              <w:pPr>
                <w:spacing w:after="160"/>
              </w:pPr>
              <w:r>
                <w:t xml:space="preserve">Grenland landbrukskontor er i dag organisert som et vertskommunesamarbeid. Samarbeidsformen vurderes som godt egnet for felles landbruksforvaltning mellom kommuner, og en utvidelse av samarbeidet til å gjelde fire kommuner vurderes å ikke endre dette. Det er derfor ikke vurdert å endre samarbeidsform  i prosessen med å innlemme Bamble kommune i samarbeidet.</w:t>
              </w:r>
            </w:p>
            <w:p>
              <w:pPr>
                <w:spacing w:after="160"/>
              </w:pPr>
              <w:r>
                <w:rPr>
                  <w:u w:val="single"/>
                </w:rPr>
                <w:t xml:space="preserve">Økonomi og kostnadsfordeling</w:t>
              </w:r>
            </w:p>
            <w:p>
              <w:pPr>
                <w:spacing w:after="160"/>
              </w:pPr>
              <w:r>
                <w:t xml:space="preserve">Kostnadsfordelingen for felles landbruksforvaltning er i dagens avtale basert på prinsippet om fordeling etter uttak av tjenester. Kostnadsfordelingen er slik:</w:t>
              </w:r>
            </w:p>
            <w:p>
              <w:pPr>
                <w:pStyle w:val="ListParagraph"/>
                <w:numPr>
                  <w:ilvl w:val="0"/>
                  <w:numId w:val="3"/>
                </w:numPr>
                <w:spacing w:after="160"/>
              </w:pPr>
              <w:r>
                <w:t xml:space="preserve">Skien kommune: 65%</w:t>
              </w:r>
            </w:p>
            <w:p>
              <w:pPr>
                <w:pStyle w:val="ListParagraph"/>
                <w:numPr>
                  <w:ilvl w:val="0"/>
                  <w:numId w:val="3"/>
                </w:numPr>
                <w:spacing w:after="160"/>
              </w:pPr>
              <w:r>
                <w:t xml:space="preserve">Porsgrunn kommune: 25%</w:t>
              </w:r>
            </w:p>
            <w:p>
              <w:pPr>
                <w:pStyle w:val="ListParagraph"/>
                <w:numPr>
                  <w:ilvl w:val="0"/>
                  <w:numId w:val="3"/>
                </w:numPr>
                <w:spacing w:after="160"/>
              </w:pPr>
              <w:r>
                <w:t xml:space="preserve">Siljan kommune: 10%</w:t>
              </w:r>
            </w:p>
            <w:p>
              <w:pPr>
                <w:spacing w:after="160"/>
              </w:pPr>
              <w:r>
                <w:t xml:space="preserve">I henhold til gjeldene avtale om vertskommunesamarbeid, pkt. 8, kan fordelingsnøkkelen tas opp til vurdering ved «vesentlige endringer i fordeling av arbeidsmengden».</w:t>
              </w:r>
            </w:p>
            <w:p>
              <w:pPr>
                <w:spacing w:after="160"/>
              </w:pPr>
              <w:r>
                <w:t xml:space="preserve">Når det nå vurderes utvidelse av samarbeide er det lagt til grunn at utvidelsen skal være til fordel for alle kommunene. Det er vanskelig å si hva som kan bli rasjonaliseringsgevinsten ved utvidelse av samarbeidet. Det tas derfor høyde for at utvidelsen medfører behov for å øke antall årsverk ved Grenland landbrukskontor tilsvarende det antall årsverk som Bamble kommune har hatt de siste årene (1,5 årsverk).</w:t>
              </w:r>
            </w:p>
            <w:p>
              <w:pPr>
                <w:spacing w:after="160"/>
              </w:pPr>
              <w:r>
                <w:t xml:space="preserve">Det legges til grunn for fastsettelse av ny kostnadsfordeling at økning i lønns- og driftskostnader for Grenland landbrukskontor, som følge av utvidelsen til fire kommuner, ikke medfører økning av kostnader for kommune i dagens vertskommunesamarbeid. </w:t>
              </w:r>
            </w:p>
            <w:p>
              <w:pPr>
                <w:spacing w:after="160"/>
              </w:pPr>
              <w:r>
                <w:br/>
              </w:r>
              <w:r>
                <w:rPr>
                  <w:b/>
                </w:rPr>
                <w:t xml:space="preserve">Effekten av saken </w:t>
              </w:r>
              <w:r>
                <w:br/>
              </w:r>
              <w:r>
                <w:t xml:space="preserve">Det er flere positive effekter av et utvidet samarbeid om felles landbruksforvaltning:</w:t>
              </w:r>
            </w:p>
            <w:p>
              <w:pPr>
                <w:pStyle w:val="ListParagraph"/>
                <w:numPr>
                  <w:ilvl w:val="0"/>
                  <w:numId w:val="4"/>
                </w:numPr>
                <w:spacing w:after="160"/>
              </w:pPr>
              <w:r>
                <w:t xml:space="preserve">Større fagmiljø med ansatte som kan spesialisere seg på ulike fagområder. Attraktiv arbeidsplass.</w:t>
              </w:r>
            </w:p>
            <w:p>
              <w:pPr>
                <w:pStyle w:val="ListParagraph"/>
                <w:numPr>
                  <w:ilvl w:val="0"/>
                  <w:numId w:val="4"/>
                </w:numPr>
                <w:spacing w:after="160"/>
              </w:pPr>
              <w:r>
                <w:t xml:space="preserve">Mindre sårbarhet ved vakanser, sykefravær m.m.</w:t>
              </w:r>
            </w:p>
            <w:p>
              <w:pPr>
                <w:pStyle w:val="ListParagraph"/>
                <w:numPr>
                  <w:ilvl w:val="0"/>
                  <w:numId w:val="4"/>
                </w:numPr>
                <w:spacing w:after="160"/>
              </w:pPr>
              <w:r>
                <w:t xml:space="preserve">Helhetlig forvaltning i en større region.</w:t>
              </w:r>
            </w:p>
            <w:p>
              <w:pPr>
                <w:pStyle w:val="ListParagraph"/>
                <w:numPr>
                  <w:ilvl w:val="0"/>
                  <w:numId w:val="4"/>
                </w:numPr>
                <w:spacing w:after="160"/>
              </w:pPr>
              <w:r>
                <w:t xml:space="preserve">Rasjonell og effektiv saksbehandling og ressursbruk.</w:t>
              </w:r>
            </w:p>
            <w:p>
              <w:pPr>
                <w:pStyle w:val="ListParagraph"/>
                <w:numPr>
                  <w:ilvl w:val="0"/>
                  <w:numId w:val="4"/>
                </w:numPr>
                <w:spacing w:after="160"/>
              </w:pPr>
              <w:r>
                <w:t xml:space="preserve">Lik forvaltningspraksis mellom nabokommuner.</w:t>
              </w:r>
            </w:p>
            <w:p>
              <w:pPr>
                <w:pStyle w:val="ListParagraph"/>
                <w:numPr>
                  <w:ilvl w:val="0"/>
                  <w:numId w:val="4"/>
                </w:numPr>
                <w:spacing w:after="160"/>
              </w:pPr>
              <w:r>
                <w:t xml:space="preserve">Styrket tjenestetilbud til bønder og landbruksnæring.</w:t>
              </w:r>
            </w:p>
            <w:p>
              <w:pPr>
                <w:spacing w:after="160"/>
              </w:pPr>
              <w:r>
                <w:br/>
              </w:r>
              <w:r>
                <w:t xml:space="preserve">Mulige utfordringer:</w:t>
              </w:r>
            </w:p>
            <w:p>
              <w:pPr>
                <w:pStyle w:val="ListParagraph"/>
                <w:numPr>
                  <w:ilvl w:val="0"/>
                  <w:numId w:val="5"/>
                </w:numPr>
                <w:spacing w:after="160"/>
              </w:pPr>
              <w:r>
                <w:t xml:space="preserve">Store reiseavstander i forbindelse med befaringer, kontroller etc.</w:t>
              </w:r>
            </w:p>
            <w:p>
              <w:pPr>
                <w:pStyle w:val="ListParagraph"/>
                <w:numPr>
                  <w:ilvl w:val="0"/>
                  <w:numId w:val="5"/>
                </w:numPr>
                <w:spacing w:after="160"/>
              </w:pPr>
              <w:r>
                <w:t xml:space="preserve">Brukerne opplever stor avstand til tjenestetilbudet.</w:t>
              </w:r>
            </w:p>
            <w:p>
              <w:pPr>
                <w:pStyle w:val="ListParagraph"/>
                <w:numPr>
                  <w:ilvl w:val="0"/>
                  <w:numId w:val="5"/>
                </w:numPr>
                <w:spacing w:after="160"/>
              </w:pPr>
              <w:r>
                <w:t xml:space="preserve">Mindre lokalkunnskap.</w:t>
              </w:r>
            </w:p>
            <w:p>
              <w:pPr>
                <w:pStyle w:val="ListParagraph"/>
                <w:numPr>
                  <w:ilvl w:val="0"/>
                  <w:numId w:val="5"/>
                </w:numPr>
                <w:spacing w:after="160"/>
              </w:pPr>
              <w:r>
                <w:t xml:space="preserve">Saksmengde innen enkelte saksområder kan øke i omfang, for eksempel nedsatt konsesjonsgrense (null-konsesjon) og oppfølging av boplikt langs kysten.</w:t>
              </w:r>
            </w:p>
            <w:p>
              <w:pPr>
                <w:pStyle w:val="ListParagraph"/>
                <w:numPr>
                  <w:ilvl w:val="0"/>
                  <w:numId w:val="5"/>
                </w:numPr>
                <w:spacing w:after="160"/>
              </w:pPr>
              <w:r>
                <w:t xml:space="preserve">Ulike prioriteringer, planer og prosesser i kommunene som medfører behov for særbehandling og reduserer effekten av felles forvaltning.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Kommunedirektøren vurderer at de positive effektene av å utvide vertskommunesamarbeidet til å omfatte Skien, Porsgrunn, Siljan og Bamble er større enn ulempene. Det er generelt positivt med økt grad av samarbeid innen ulike fagfelt, blant kommunene i Grenland. Kommunedirektøren anbefaler derfor å igangsette arbeid med å innlemme Bamble kommune i det eksisterende vertskommunesamarbeidet. Kommunedirektøren anbefaler videre at prinsippet om kostnadsfordeling etter uttak av tjenester videreføres, og at det legges som premiss at det ikke skal medføre økte kostnader for dagens kommuner i vertskommunesamarbeidet. </w:t>
              </w:r>
            </w:p>
            <w:p>
              <w:pPr>
                <w:spacing w:after="160"/>
              </w:pPr>
              <w:r>
                <w:t xml:space="preserve">Kommunedirektøren vil legge frem forslag til ny avtale om vertskommunesamarbeid for bystyret høsten 2026. Likelydende sak vil bli fremlagt også for Siljan og Porsgrunn kommuner.  </w:t>
              </w:r>
            </w:p>
            <w:p>
              <w:pPr>
                <w:spacing w:after="160"/>
              </w:pPr>
              <w:r>
                <w:t xml:space="preserve"> </w:t>
              </w:r>
            </w:p>
            <w:p>
              <w:pPr>
                <w:spacing w:after="160"/>
              </w:pPr>
              <w:r>
                <w:br/>
              </w:r>
              <w:r>
                <w:rPr>
                  <w:b/>
                </w:rPr>
                <w:t xml:space="preserve">Referanser</w:t>
              </w:r>
              <w:r>
                <w:br/>
              </w:r>
              <w:r>
                <w:t xml:space="preserve">Avtale om vertskommunesamarbeid - Grenland landbrukskontor</w:t>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Avtale om administrativt vertskommunesamarbeid for felles kommunal landbruksforvaltning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Bamble kommune ønsker å slutte seg til felles Landbrukskontor i Grenland</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lvlOverride w:ilvl="0">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abfe463ea2cb49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Grenland landbrukskontor - felles landbruksforvaltning med Bamble kommune </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