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25/19601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19</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Liv Brox</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21.04.2026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28/26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Klagesak - Gbnr 220/1170 - Bedriftsvegen 64 - Smådyrkrematorium</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Klage fra Abbas Hamdini, datert 07.01.2026, tas ikke til følge. Klagen inneholder ingen nye momenter som er avgjørende for vedtakets innhold.</w:t>
              </w:r>
            </w:p>
            <w:p>
              <w:pPr>
                <w:pStyle w:val="ListParagraph"/>
                <w:numPr>
                  <w:ilvl w:val="0"/>
                  <w:numId w:val="1"/>
                </w:numPr>
                <w:spacing w:after="160"/>
              </w:pPr>
              <w:r>
                <w:t xml:space="preserve">Saken sendes til Statsforvalteren i Vestfold og Telemark for endelig avgjørelse.</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pStyle w:val="ListParagraph"/>
                <w:numPr>
                  <w:ilvl w:val="0"/>
                  <w:numId w:val="2"/>
                </w:numPr>
                <w:spacing w:after="160"/>
              </w:pPr>
              <w:r>
                <w:rPr>
                  <w:b/>
                </w:rPr>
                <w:t xml:space="preserve">25.08.2025: </w:t>
              </w:r>
              <w:r>
                <w:t xml:space="preserve">Kommunen mottok en forespørsel fra ansvarlig søker om dispensasjonsadgang knyttet til krav om detaljregulering ved tiltak større enn 500 m2 i kommuneplanens arealdel. Søker oppga at tiltakshaver hadde planer om å etablere et smådyrskrematorium på vestre del av tomten.</w:t>
              </w:r>
            </w:p>
            <w:p>
              <w:pPr>
                <w:pStyle w:val="ListParagraph"/>
                <w:numPr>
                  <w:ilvl w:val="0"/>
                  <w:numId w:val="2"/>
                </w:numPr>
                <w:spacing w:after="160"/>
              </w:pPr>
              <w:r>
                <w:rPr>
                  <w:b/>
                </w:rPr>
                <w:t xml:space="preserve">04.09.2025: </w:t>
              </w:r>
              <w:r>
                <w:t xml:space="preserve">Kommunen ga tilbakemelding om at bestemmelse pkt 1.2 i Kommuneplanens arealdel ville gjelde for tiltaket, og at utbygginger på mer enn 500 m2 vil utløse krav om detaljregulering. Kommunen oppfordret søker til å bestille forhåndskonferanse dersom det var ønskelig å avklare ytterligere rammer for prosjektet.</w:t>
              </w:r>
            </w:p>
            <w:p>
              <w:pPr>
                <w:pStyle w:val="ListParagraph"/>
                <w:numPr>
                  <w:ilvl w:val="0"/>
                  <w:numId w:val="2"/>
                </w:numPr>
                <w:spacing w:after="160"/>
              </w:pPr>
              <w:r>
                <w:rPr>
                  <w:b/>
                </w:rPr>
                <w:t xml:space="preserve">01.10.2025: </w:t>
              </w:r>
              <w:r>
                <w:t xml:space="preserve">Det ble avholdt et møte med deltakere fra søker/tiltakshaver og kommunen v/byggesak. Formålet med møtet var å avklare rammer for prosjektet og hvorvidt det ville være mulig å søke om dispensasjon fra krav om detaljregulering. </w:t>
              </w:r>
            </w:p>
            <w:p>
              <w:pPr>
                <w:pStyle w:val="ListParagraph"/>
                <w:numPr>
                  <w:ilvl w:val="0"/>
                  <w:numId w:val="2"/>
                </w:numPr>
                <w:spacing w:after="160"/>
              </w:pPr>
              <w:r>
                <w:rPr>
                  <w:b/>
                </w:rPr>
                <w:t xml:space="preserve">24.11.2025:</w:t>
              </w:r>
              <w:r>
                <w:t xml:space="preserve"> Kommunen mottok søknad om dispensasjon og rammetillatelse til Smådyrskrematorium. </w:t>
              </w:r>
            </w:p>
            <w:p>
              <w:pPr>
                <w:pStyle w:val="ListParagraph"/>
                <w:numPr>
                  <w:ilvl w:val="0"/>
                  <w:numId w:val="2"/>
                </w:numPr>
                <w:spacing w:after="160"/>
              </w:pPr>
              <w:r>
                <w:rPr>
                  <w:b/>
                </w:rPr>
                <w:t xml:space="preserve">19.12.2025</w:t>
              </w:r>
              <w:r>
                <w:t xml:space="preserve">: Søknad om rammetillatelse og dispensasjon ble innvilget.</w:t>
              </w:r>
            </w:p>
            <w:p>
              <w:pPr>
                <w:pStyle w:val="ListParagraph"/>
                <w:numPr>
                  <w:ilvl w:val="0"/>
                  <w:numId w:val="2"/>
                </w:numPr>
                <w:spacing w:after="160"/>
              </w:pPr>
              <w:r>
                <w:rPr>
                  <w:b/>
                </w:rPr>
                <w:t xml:space="preserve">07.01.2026</w:t>
              </w:r>
              <w:r>
                <w:t xml:space="preserve">: Vedtaket ble påklaget av Abbas Hamdani. </w:t>
              </w:r>
            </w:p>
            <w:p>
              <w:pPr>
                <w:spacing w:after="160"/>
              </w:pPr>
              <w:r>
                <w:drawing>
                  <wp:inline distT="0" distB="0" distL="0" distR="0">
                    <wp:extent cx="4019549" cy="3305175"/>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0b92ba778d4c41b7"/>
                            <a:srcRect/>
                            <a:stretch>
                              <a:fillRect/>
                            </a:stretch>
                          </pic:blipFill>
                          <pic:spPr bwMode="auto">
                            <a:xfrm>
                              <a:off x="0" y="0"/>
                              <a:ext cx="4019549" cy="3305175"/>
                            </a:xfrm>
                            <a:prstGeom prst="rect">
                              <a:avLst/>
                            </a:prstGeom>
                          </pic:spPr>
                        </pic:pic>
                      </a:graphicData>
                    </a:graphic>
                  </wp:inline>
                </w:drawing>
              </w:r>
            </w:p>
            <w:p>
              <w:pPr>
                <w:spacing w:after="160"/>
              </w:pPr>
              <w:r>
                <w:rPr>
                  <w:i/>
                </w:rPr>
                <w:t xml:space="preserve">Kartutsnitt 1: Oversiktkart som viser eiendommens plassering på Kjørbekk</w:t>
              </w:r>
            </w:p>
            <w:p>
              <w:pPr>
                <w:spacing w:after="160"/>
              </w:pPr>
              <w:r>
                <w:t xml:space="preserve"> </w:t>
              </w:r>
            </w:p>
            <w:p>
              <w:pPr>
                <w:spacing w:after="160"/>
              </w:pPr>
              <w:r>
                <w:t xml:space="preserve"> </w:t>
              </w:r>
            </w:p>
            <w:p>
              <w:pPr>
                <w:spacing w:after="160"/>
              </w:pPr>
              <w:r>
                <w:drawing>
                  <wp:inline distT="0" distB="0" distL="0" distR="0">
                    <wp:extent cx="3981450" cy="264795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816c449aab3b4390"/>
                            <a:srcRect/>
                            <a:stretch>
                              <a:fillRect/>
                            </a:stretch>
                          </pic:blipFill>
                          <pic:spPr bwMode="auto">
                            <a:xfrm>
                              <a:off x="0" y="0"/>
                              <a:ext cx="3981450" cy="2647950"/>
                            </a:xfrm>
                            <a:prstGeom prst="rect">
                              <a:avLst/>
                            </a:prstGeom>
                          </pic:spPr>
                        </pic:pic>
                      </a:graphicData>
                    </a:graphic>
                  </wp:inline>
                </w:drawing>
              </w:r>
            </w:p>
            <w:p>
              <w:pPr>
                <w:spacing w:after="160"/>
              </w:pPr>
              <w:r>
                <w:rPr>
                  <w:i/>
                </w:rPr>
                <w:t xml:space="preserve">Kartutsnitt 2: Eiendommen omfattes av "Kommuneplanens arealdel" (planid: 4003_2021007) vedtatt 14.11.2024 og ligger innenfor arealformål "Næring/forretning".</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drawing>
                  <wp:inline distT="0" distB="0" distL="0" distR="0">
                    <wp:extent cx="5524500" cy="3343275"/>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c9e8640259f54559"/>
                            <a:srcRect/>
                            <a:stretch>
                              <a:fillRect/>
                            </a:stretch>
                          </pic:blipFill>
                          <pic:spPr bwMode="auto">
                            <a:xfrm>
                              <a:off x="0" y="0"/>
                              <a:ext cx="5524500" cy="3343275"/>
                            </a:xfrm>
                            <a:prstGeom prst="rect">
                              <a:avLst/>
                            </a:prstGeom>
                          </pic:spPr>
                        </pic:pic>
                      </a:graphicData>
                    </a:graphic>
                  </wp:inline>
                </w:drawing>
              </w:r>
            </w:p>
            <w:p>
              <w:pPr>
                <w:spacing w:after="160"/>
              </w:pPr>
              <w:r>
                <w:rPr>
                  <w:i/>
                </w:rPr>
                <w:t xml:space="preserve">Foto 1: Oversiktsbilde, skråfoto. Aktuell del av eiendom vist innenfor rød firkant.</w:t>
              </w:r>
            </w:p>
            <w:p>
              <w:pPr>
                <w:spacing w:after="160"/>
              </w:pPr>
              <w:r>
                <w:drawing>
                  <wp:inline distT="0" distB="0" distL="0" distR="0">
                    <wp:extent cx="4343400" cy="2466975"/>
                    <wp:effectExtent l="19050" t="0" r="0" b="0"/>
                    <wp:docPr id="5"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c9e0fed0125441a9"/>
                            <a:srcRect/>
                            <a:stretch>
                              <a:fillRect/>
                            </a:stretch>
                          </pic:blipFill>
                          <pic:spPr bwMode="auto">
                            <a:xfrm>
                              <a:off x="0" y="0"/>
                              <a:ext cx="4343400" cy="2466975"/>
                            </a:xfrm>
                            <a:prstGeom prst="rect">
                              <a:avLst/>
                            </a:prstGeom>
                          </pic:spPr>
                        </pic:pic>
                      </a:graphicData>
                    </a:graphic>
                  </wp:inline>
                </w:drawing>
              </w:r>
            </w:p>
            <w:p>
              <w:pPr>
                <w:spacing w:after="160"/>
              </w:pPr>
              <w:r>
                <w:rPr>
                  <w:i/>
                </w:rPr>
                <w:t xml:space="preserve">Kartutsnitt 3: Situasjonsplan presentert ifm søknad</w:t>
              </w:r>
            </w:p>
            <w:p>
              <w:pPr>
                <w:spacing w:after="160"/>
              </w:pPr>
              <w:r>
                <w:t xml:space="preserve">Rammesøknaden beskriver et smådyrskrematorium på ca. 1500m2 BRA, prosjektert som et generelt næringsbygg slik at det i fremtiden kan benyttes til andre formål. </w:t>
              </w:r>
              <w:r>
                <w:br/>
              </w:r>
              <w:r>
                <w:t xml:space="preserve">Tiltaket ønskes oppført på eiendommens vestre del, innenfor rød markering i oversiktsbildet. Eksisterende garasje ønskes revet. Det er søkt om dispensasjon fra krav om detaljregulering på bakgrunn av pkt. 1.2 i Kommuneplanens arealdel: </w:t>
              </w:r>
            </w:p>
            <w:p>
              <w:pPr>
                <w:spacing w:after="160"/>
              </w:pPr>
              <w:r>
                <w:drawing>
                  <wp:inline distT="0" distB="0" distL="0" distR="0">
                    <wp:extent cx="4486275" cy="1247775"/>
                    <wp:effectExtent l="19050" t="0" r="0" b="0"/>
                    <wp:docPr id="6"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61bcf65750e04152"/>
                            <a:srcRect/>
                            <a:stretch>
                              <a:fillRect/>
                            </a:stretch>
                          </pic:blipFill>
                          <pic:spPr bwMode="auto">
                            <a:xfrm>
                              <a:off x="0" y="0"/>
                              <a:ext cx="4486275" cy="1247775"/>
                            </a:xfrm>
                            <a:prstGeom prst="rect">
                              <a:avLst/>
                            </a:prstGeom>
                          </pic:spPr>
                        </pic:pic>
                      </a:graphicData>
                    </a:graphic>
                  </wp:inline>
                </w:drawing>
              </w:r>
              <w:r>
                <w:br/>
              </w:r>
              <w:r>
                <w:t xml:space="preserve"> </w:t>
              </w:r>
            </w:p>
            <w:p>
              <w:pPr>
                <w:spacing w:after="160"/>
              </w:pPr>
              <w:r>
                <w:t xml:space="preserve"> </w:t>
              </w:r>
            </w:p>
            <w:p>
              <w:pPr>
                <w:spacing w:after="160"/>
              </w:pPr>
              <w:r>
                <w:t xml:space="preserve">Fasadetegninger og illustrasjoner av omsøkt tiltak:</w:t>
              </w:r>
            </w:p>
            <w:p>
              <w:pPr>
                <w:spacing w:after="160"/>
              </w:pPr>
              <w:r>
                <w:drawing>
                  <wp:inline distT="0" distB="0" distL="0" distR="0">
                    <wp:extent cx="4419600" cy="3171825"/>
                    <wp:effectExtent l="19050" t="0" r="0" b="0"/>
                    <wp:docPr id="7" name="Picture 7" descr=""/>
                    <wp:cNvGraphicFramePr>
                      <a:graphicFrameLocks noChangeAspect="1"/>
                    </wp:cNvGraphicFramePr>
                    <a:graphic>
                      <a:graphicData uri="http://schemas.openxmlformats.org/drawingml/2006/picture">
                        <pic:pic>
                          <pic:nvPicPr>
                            <pic:cNvPr id="7" name="" descr=""/>
                            <pic:cNvPicPr>
                              <a:picLocks noChangeAspect="1" noChangeArrowheads="1"/>
                            </pic:cNvPicPr>
                          </pic:nvPicPr>
                          <pic:blipFill>
                            <a:blip r:embed="Rc487762217234741"/>
                            <a:srcRect/>
                            <a:stretch>
                              <a:fillRect/>
                            </a:stretch>
                          </pic:blipFill>
                          <pic:spPr bwMode="auto">
                            <a:xfrm>
                              <a:off x="0" y="0"/>
                              <a:ext cx="4419600" cy="3171825"/>
                            </a:xfrm>
                            <a:prstGeom prst="rect">
                              <a:avLst/>
                            </a:prstGeom>
                          </pic:spPr>
                        </pic:pic>
                      </a:graphicData>
                    </a:graphic>
                  </wp:inline>
                </w:drawing>
              </w:r>
            </w:p>
            <w:p>
              <w:pPr>
                <w:spacing w:after="160"/>
              </w:pPr>
              <w:r>
                <w:drawing>
                  <wp:inline distT="0" distB="0" distL="0" distR="0">
                    <wp:extent cx="5715000" cy="3638550"/>
                    <wp:effectExtent l="19050" t="0" r="0" b="0"/>
                    <wp:docPr id="8" name="Picture 8" descr=""/>
                    <wp:cNvGraphicFramePr>
                      <a:graphicFrameLocks noChangeAspect="1"/>
                    </wp:cNvGraphicFramePr>
                    <a:graphic>
                      <a:graphicData uri="http://schemas.openxmlformats.org/drawingml/2006/picture">
                        <pic:pic>
                          <pic:nvPicPr>
                            <pic:cNvPr id="8" name="" descr=""/>
                            <pic:cNvPicPr>
                              <a:picLocks noChangeAspect="1" noChangeArrowheads="1"/>
                            </pic:cNvPicPr>
                          </pic:nvPicPr>
                          <pic:blipFill>
                            <a:blip r:embed="R80dcf58a6877443f"/>
                            <a:srcRect/>
                            <a:stretch>
                              <a:fillRect/>
                            </a:stretch>
                          </pic:blipFill>
                          <pic:spPr bwMode="auto">
                            <a:xfrm>
                              <a:off x="0" y="0"/>
                              <a:ext cx="5715000" cy="3638550"/>
                            </a:xfrm>
                            <a:prstGeom prst="rect">
                              <a:avLst/>
                            </a:prstGeom>
                          </pic:spPr>
                        </pic:pic>
                      </a:graphicData>
                    </a:graphic>
                  </wp:inline>
                </w:drawing>
              </w:r>
            </w:p>
            <w:p>
              <w:pPr>
                <w:spacing w:after="160"/>
              </w:pPr>
              <w:r>
                <w:drawing>
                  <wp:inline distT="0" distB="0" distL="0" distR="0">
                    <wp:extent cx="5715000" cy="5181600"/>
                    <wp:effectExtent l="19050" t="0" r="0" b="0"/>
                    <wp:docPr id="9" name="Picture 9" descr=""/>
                    <wp:cNvGraphicFramePr>
                      <a:graphicFrameLocks noChangeAspect="1"/>
                    </wp:cNvGraphicFramePr>
                    <a:graphic>
                      <a:graphicData uri="http://schemas.openxmlformats.org/drawingml/2006/picture">
                        <pic:pic>
                          <pic:nvPicPr>
                            <pic:cNvPr id="9" name="" descr=""/>
                            <pic:cNvPicPr>
                              <a:picLocks noChangeAspect="1" noChangeArrowheads="1"/>
                            </pic:cNvPicPr>
                          </pic:nvPicPr>
                          <pic:blipFill>
                            <a:blip r:embed="R5fd8daf271d54060"/>
                            <a:srcRect/>
                            <a:stretch>
                              <a:fillRect/>
                            </a:stretch>
                          </pic:blipFill>
                          <pic:spPr bwMode="auto">
                            <a:xfrm>
                              <a:off x="0" y="0"/>
                              <a:ext cx="5715000" cy="5181600"/>
                            </a:xfrm>
                            <a:prstGeom prst="rect">
                              <a:avLst/>
                            </a:prstGeom>
                          </pic:spPr>
                        </pic:pic>
                      </a:graphicData>
                    </a:graphic>
                  </wp:inline>
                </w:drawing>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p>
              <w:pPr>
                <w:spacing w:after="160"/>
              </w:pPr>
              <w:r>
                <w:t xml:space="preserve">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p>
            <w:p>
              <w:pPr>
                <w:spacing w:after="160"/>
              </w:pPr>
              <w:r>
                <w:rPr>
                  <w:b/>
                </w:rPr>
                <w:t xml:space="preserve">1. Klagens innhold og kommunedirektørens vurderinger</w:t>
              </w:r>
            </w:p>
            <w:p>
              <w:pPr>
                <w:spacing w:after="160"/>
              </w:pPr>
              <w:r>
                <w:rPr>
                  <w:b/>
                  <w:u w:val="single"/>
                </w:rPr>
                <w:t xml:space="preserve">1.1 Klagens innhold</w:t>
              </w:r>
              <w:r>
                <w:br/>
              </w:r>
              <w:r>
                <w:t xml:space="preserve">Det er tre ukers klagefrist og klagen er rettidig, jf. forvaltningsloven § 29. Innsendt klage oppfyller de materielle kravene, jf. fvl. § 32. </w:t>
              </w:r>
              <w:r>
                <w:br/>
              </w:r>
              <w:r>
                <w:br/>
              </w:r>
              <w:r>
                <w:t xml:space="preserve">Klagen er innsendt og signert av Abbas Hamdani, nabo til eiendom 220/1170. Han har derfor klagerett, jf. fvl. § 28 første ledd. </w:t>
              </w:r>
              <w:r>
                <w:br/>
              </w:r>
              <w:r>
                <w:br/>
              </w:r>
              <w:r>
                <w:t xml:space="preserve">Klager mener at tiltaket vil gå ut over trivselen til naboer i omkringsliggende boligbebyggelse samt i eksisterende næringsbebyggelse. Det er i klagen lagt ved lenker til lokalavis- og nettartikler som beskriver lukt- og utslippsproblemer ved eksisterende dyrekrematorium.</w:t>
              </w:r>
              <w:r>
                <w:br/>
              </w:r>
              <w:r>
                <w:t xml:space="preserve">Klager stiller spørsmål ved om eksisterende smådyrkrematorium har utslippstillatelse siden det her er problemer med sjenerende lukt og utslipp til naboer. </w:t>
              </w:r>
            </w:p>
            <w:p>
              <w:pPr>
                <w:spacing w:after="160"/>
              </w:pPr>
              <w:r>
                <w:t xml:space="preserve">9. mars 2026 sender klager inn en epost hvor det blir stilt spørsmål ved hvorfor ikke flere naboer er varslet i forbindelse med søknaden. </w:t>
              </w:r>
            </w:p>
            <w:p>
              <w:pPr>
                <w:spacing w:after="160"/>
              </w:pPr>
              <w:r>
                <w:t xml:space="preserve">Se vedlegg nr. 1</w:t>
              </w:r>
              <w:r>
                <w:rPr>
                  <w:b/>
                </w:rPr>
                <w:t xml:space="preserve"> </w:t>
              </w:r>
              <w:r>
                <w:t xml:space="preserve">for å lese klagen i sin helhet.</w:t>
              </w:r>
            </w:p>
            <w:p>
              <w:pPr>
                <w:spacing w:after="160"/>
              </w:pPr>
              <w:r>
                <w:rPr>
                  <w:b/>
                  <w:u w:val="single"/>
                </w:rPr>
                <w:t xml:space="preserve">1.2 Kommunedirektørens vurdering av klage</w:t>
              </w:r>
              <w:r>
                <w:br/>
              </w:r>
              <w:r>
                <w:t xml:space="preserve">Saken gjelder søknad om rammetillatelse for smådyrskrematorium, samt dispensasjon fra krav om detaljregulering, angitt i Kommuneplanens arealdel pkt. 1.2. Klager peker på bekymring omkring luktproblemer for et nytt smådyrskrematorium og viser i den anledning til misnøye med det eksisterende smådyrskrematoriet i regionen. Kommunen har ikke informasjon om utslippstillatelser knyttet til det eksisterende smådyrskrematorium, eller hvorvidt dette driftes i henhold til eventuelle tillatelser. </w:t>
              </w:r>
            </w:p>
            <w:p>
              <w:pPr>
                <w:spacing w:after="160"/>
              </w:pPr>
              <w:r>
                <w:t xml:space="preserve">Kommunen har i vedtaket redegjort for problematikken:</w:t>
              </w:r>
              <w:r>
                <w:br/>
              </w:r>
              <w:r>
                <w:rPr>
                  <w:i/>
                </w:rPr>
                <w:t xml:space="preserve">"Tillatelse til det omsøkte tiltaket forutsetter at det innhentes gyldig utslippstillatelse fra Forurensningsmyndigheten (Statsforvalteren). Krav og bestemmelser i "Lov om vern mot forurensninger og om avfall" (Forurensningsloven) vil bli ivaretatt gjennom utslippstillatelsen. Forurensningsloven har til formål å «verne det ytre miljøet mot forurensning, å redusere eksisterende forurensning, å redusere mengden av avfall og å fremme bedre behandling av avfall. Loven skal også sikre forsvarlig miljøkvalitet, slik at forurensninger og avfall ikke fører til helseskade, går ut over trivselen eller skader naturens evne til produksjon og selvfornyelse.». Kommunen legger derfor til grunn at det omsøkte smådyrskrematoriet ikke vil føre til utslipp av lukt, røyk eller gasser som kan føre til helseskade, går ut over trivselen eller skader naturens evne til produksjon og selvfornyelse."</w:t>
              </w:r>
            </w:p>
            <w:p>
              <w:pPr>
                <w:spacing w:after="160"/>
              </w:pPr>
              <w:r>
                <w:t xml:space="preserve">Det vises for øvrig til ansvarlig søkers svar på nabomerknader knyttet til temaet:  </w:t>
              </w:r>
              <w:r>
                <w:br/>
              </w:r>
              <w:r>
                <w:rPr>
                  <w:i/>
                </w:rPr>
                <w:t xml:space="preserve">"I forbindelse med utslippstillatelse vil det komme nye nabovarsler/høringer og analyser/utredninger vil bli gjort opp mot omkringliggende bebyggelse. Som igjen blir hensyntatt ved prosjektering av kremeringsovner/renseanlegg/filtrering etc"</w:t>
              </w:r>
            </w:p>
            <w:p>
              <w:pPr>
                <w:spacing w:after="160"/>
              </w:pPr>
              <w:r>
                <w:t xml:space="preserve">Kommunedirektøren vil presisere at en igangsettingstillatelse til tiltaket ikke vil kunne utstedes før det foreligger utslippstillatelse. Dette er satt som vilkår i rammetillatelsen.</w:t>
              </w:r>
            </w:p>
            <w:p>
              <w:pPr>
                <w:spacing w:after="160"/>
              </w:pPr>
              <w:r>
                <w:t xml:space="preserve">Klager stiller i epost til kommunen spørsmål ved hvorfor ikke ytterligere naboer er varslet. Kommunen gjorde i forbindelse med møter og tilbakemelding til søker en vurdering på at det var hensiktsmessig å gjøre et utvidet nabovarsel, samt en vurdering på hvem som skulle varsles i det utvidede nabovarslet. Kommunen viser også til ansvarlig søkers svar angående nabovarsling over.</w:t>
              </w:r>
            </w:p>
            <w:p>
              <w:pPr>
                <w:spacing w:after="160"/>
              </w:pPr>
              <w:r>
                <w:rPr>
                  <w:u w:val="single"/>
                </w:rPr>
                <w:t xml:space="preserve">Nabomerknader</w:t>
              </w:r>
              <w:r>
                <w:br/>
              </w:r>
              <w:r>
                <w:t xml:space="preserve">I forbindelse med søknad om ramme og dispensasjon fra plankrav, er det kommet inn merknader fra tre naboer. </w:t>
              </w:r>
              <w:r>
                <w:br/>
              </w:r>
              <w:r>
                <w:br/>
              </w:r>
              <w:r>
                <w:t xml:space="preserve">Merknadene omhandlet i hovedsak at eiendommen ble vurdert å være uegnet for etablering av et smådyrskrematorium med tanke på sjenerende lukt til tilstøtende boligområde. Det ble også ytret bekymring for at tiltaket ville øke trafikken i nærheten av eksisterende boligfelt.</w:t>
              </w:r>
              <w:r>
                <w:br/>
              </w:r>
              <w:r>
                <w:t xml:space="preserve">Nabomerknadene kan leses i sin helhet i vedlegg 7-10. Ansvarlig søker har gitt sitt svar på nabomerknadene i vedlegg 11, og kommunen har kommentert merknadene i vedtaket, vedlegg 2. Oversikt over varslede naboer i utvidet nabovarsel foreligger i vedlegg 12.</w:t>
              </w:r>
            </w:p>
            <w:p>
              <w:pPr>
                <w:spacing w:after="160"/>
              </w:pPr>
              <w:r>
                <w:rPr>
                  <w:u w:val="single"/>
                </w:rPr>
                <w:t xml:space="preserve">Rettslig utgangspunkt </w:t>
              </w:r>
              <w:r>
                <w:br/>
              </w:r>
              <w:r>
                <w:t xml:space="preserve">Plan- og bygningsloven kapittel 19 åpner for at kommunen </w:t>
              </w:r>
              <w:r>
                <w:rPr>
                  <w:i/>
                </w:rPr>
                <w:t xml:space="preserve">kan </w:t>
              </w:r>
              <w:r>
                <w:t xml:space="preserve">gi varig eller midlertidig dispensasjon fra bestemmelser fastsatt i eller i medhold av loven. Det følger av lovens forarbeider, Ot.prp. nr. 32 (2007-2008) s. 242, at det ikke skal være kurant å fravike gjeldende planer. Kommunale arealplaner har som oftest blitt til gjennom omfattende beslutnings- og medvirkningsprosesser, og er vedtatt av kommunens øverste folkevalgte organ. Planene sikrer forutsigbarhet og ivaretar helhetlige planfaglige hensyn. Dispensasjonsadgangen er derfor en snever unntaksregel, og i henhold til pbl § 19-2 annet ledd må to kumulative vilkår være oppfylt for å kunne gi dispensasjon:</w:t>
              </w:r>
            </w:p>
            <w:p>
              <w:pPr>
                <w:pStyle w:val="ListParagraph"/>
                <w:numPr>
                  <w:ilvl w:val="0"/>
                  <w:numId w:val="3"/>
                </w:numPr>
                <w:spacing w:after="160"/>
              </w:pPr>
              <w:r>
                <w:t xml:space="preserve"> Hensynene bak bestemmelsen det dispenseres fra, hensynene i lovens formålsbestemmelse eller nasjonale eller regionale interesser, må ikke bli vesentlig tilsidesatt.</w:t>
              </w:r>
            </w:p>
            <w:p>
              <w:pPr>
                <w:pStyle w:val="ListParagraph"/>
                <w:numPr>
                  <w:ilvl w:val="0"/>
                  <w:numId w:val="3"/>
                </w:numPr>
                <w:spacing w:after="160"/>
              </w:pPr>
              <w:r>
                <w:t xml:space="preserve"> Fordelene ved å gi dispensasjon må være klart større enn ulempene.</w:t>
              </w:r>
            </w:p>
            <w:p>
              <w:pPr>
                <w:spacing w:after="160"/>
              </w:pPr>
              <w:r>
                <w:t xml:space="preserve">Vurderingen av om de to vilkårene er oppfylt, beror på rettsanvendelse. Det er altså ikke en skjønnsmessig eller politisk vurdering.</w:t>
              </w:r>
              <w:r>
                <w:br/>
              </w:r>
              <w:r>
                <w:br/>
              </w:r>
              <w:r>
                <w:t xml:space="preserve">Selv om de rettslige vilkårene er oppfylt, er det ingen automatikk i at dispensasjonssøknaden innvilges. Dispensasjonsbestemmelsen er en "kan"-bestemmelse, som betyr at ingen har krav på å få dispensasjon. Dersom vilkårene er oppfylt, er det opp til kommunens skjønn å avgjøre om dispensasjonsadgangen skal benyttes. </w:t>
              </w:r>
            </w:p>
            <w:p>
              <w:pPr>
                <w:spacing w:after="160"/>
              </w:pPr>
              <w:r>
                <w:rPr>
                  <w:u w:val="single"/>
                </w:rPr>
                <w:t xml:space="preserve">Blir hensynene bak reguleringsplanbestemmelsen, lovens formålsbestemmelse eller regionale interesser vesentlig tilsidesatt?</w:t>
              </w:r>
              <w:r>
                <w:br/>
              </w:r>
              <w:r>
                <w:t xml:space="preserve">I kommunens vedtak, innvilget rammetillatelse og dispensasjon, ble hensynene bak reguleringsplanbestemmelsen vurdert slik:</w:t>
              </w:r>
              <w:r>
                <w:br/>
              </w:r>
              <w:r>
                <w:t xml:space="preserve">"</w:t>
              </w:r>
              <w:r>
                <w:rPr>
                  <w:i/>
                </w:rPr>
                <w:t xml:space="preserve">Hensynene bak bestemmelsen om plankrav er å sikre helhetlig og forutsigbar utvikling, gjennom å styre hvordan et bestemt område kan brukes og bebygges. En reguleringsplan skal fastsette arealbruk, utnyttelse, sikre infrastruktur, ta hensyn til miljø og samfunnsutvikling, ivareta felleskapets interesser og skape forutsigbar utbygging. Tiltaket, smådyrskrematorium, er i samsvar med formålet i gjeldende kommuneplanens arealdel, der området er vist som kombinert bebyggelse og anleggsformål: næring/forretning, nåværende. Området langs Bedriftsvegen er i all hovedsak utbygd. Dette kommer også frem ved at formålet i kommuneplanens arealdel er vist som nåværende, ikke framtidig. En utarbeiding av reguleringsplan for dette tiltaket, som kun vil omfatte en mindre del av gbnr. 220/1170, vil ikke gi vesentlig ny kunnskap eller sikre utbyggingen, som ikke kan gis gjennom en dispensasjon. Dette fordi tilkomst, infrastruktur og tekniske anlegg alt er utbygd. Videre er størrelsen på utbyggingen tilpasset eksisterende bebyggelse i området. Hensynet til miljø vil ivaretas gjennom utslippstillatelse fra Forurensningsmyndigheten (Statsforvalteren)."</w:t>
              </w:r>
            </w:p>
            <w:p>
              <w:pPr>
                <w:spacing w:after="160"/>
              </w:pPr>
              <w:r>
                <w:t xml:space="preserve">Kommunedirektøren stiller seg bak vurderingene som er fremlagt i vedtaket, og det vises forøvrig til uttalelsen som er innhentet fra planavdelingen, datert 04.12.2025:  </w:t>
              </w:r>
            </w:p>
            <w:p>
              <w:pPr>
                <w:spacing w:after="160"/>
              </w:pPr>
              <w:r>
                <w:rPr>
                  <w:i/>
                </w:rPr>
                <w:t xml:space="preserve">"Det er søkt om etablering av næringsbygg for planlagt smådyrkrematorium. Planenheten vurderer, i likhet med byggesaksenheten, at smådyrkrematorium er i samsvar med formålet i gjeldende kommuneplanens arealdel, der området er vist som kombinert bebyggelse og anleggsformål næring/forretning, nåværende. Området er ikke regulert.</w:t>
              </w:r>
              <w:r>
                <w:br/>
              </w:r>
              <w:r>
                <w:rPr>
                  <w:i/>
                </w:rPr>
                <w:t xml:space="preserve">I kommuneplanens arealdel er det satt krav om utarbeiding av detaljregulering i bestemmelsene pkt.1.2 Plankrav. Det er søkt om dispensasjon fra denne bestemmelsen.</w:t>
              </w:r>
              <w:r>
                <w:br/>
              </w:r>
              <w:r>
                <w:rPr>
                  <w:i/>
                </w:rPr>
                <w:t xml:space="preserve">Området langs Bedriftsvegen er i all hovedsak utbygd, det går også fram av at formålet i kommuneplanens arealdel er vist som nåværende, ikke framtidig. En utarbeiding av reguleringsplan for dette tiltaket, som kun vil omfatte del av gbnr. 220/1170, vil ikke gi vesentlig ny kunnskap og sikre utbyggingen, som ikke kan gis gjennom en dispensasjon. Dette fordi tilkomst, infrastruktur og tekniske anlegg alt er utbygd. Videre er størrelsen på utbyggingen tilpasset eksisterende bebyggelse i området. Planenheten har derfor ikke motforestillinger til at det blir gitt unntak fra kravet om reguleringsplan i</w:t>
              </w:r>
              <w:r>
                <w:br/>
              </w:r>
              <w:r>
                <w:rPr>
                  <w:i/>
                </w:rPr>
                <w:t xml:space="preserve">dette tilfellet. "</w:t>
              </w:r>
            </w:p>
            <w:p>
              <w:pPr>
                <w:spacing w:after="160"/>
              </w:pPr>
              <w:r>
                <w:t xml:space="preserve">Kommunedirektøren kan ikke se at dispensasjonen medfører en vesentlig tilsidesettelse av hensikten bak bestemmelse 1.2 i kommuneplanens arealdel, lovens formålsbestemmelse eller at nasjonale eller regionale interesser blir tilsidesatt ved å innvilge dispensasjonen.</w:t>
              </w:r>
            </w:p>
            <w:p>
              <w:pPr>
                <w:spacing w:after="160"/>
              </w:pPr>
              <w:r>
                <w:rPr>
                  <w:u w:val="single"/>
                </w:rPr>
                <w:t xml:space="preserve">Er fordelene ved å gi dispensasjon klart større enn ulempene?</w:t>
              </w:r>
              <w:r>
                <w:br/>
              </w:r>
              <w:r>
                <w:t xml:space="preserve">Videre må det vurderes hvorvidt fordelene ved å innvilge en dispensasjon er klart større enn ulempene. I denne vurderingen må det foretas en avveining av fordelene og ulempene som dispensasjonen vil gi. I uttrykket "klart større" ligger det et krav om kvalifisert interesseovervekt, jf. Ot.prp. nr. 32 (2007-2008) s. 242. Det er ikke tilstrekkelig at ulempene er beskjedne - det må kunne påvises relevante fordeler som klart overstiger ulempene, jf. SOM-2015-3269. I avveiningen er det relevant å vektlegge fordeler og ulemper for samfunnet, tiltakshaver og tredjeparter, men fordelene skal begrenses til forhold som ivaretar generelle areal- og ressursdisponeringshensyn, jf. Prop. 169 L (2020-2021) s. 55. For å kunne vektlegge sosialmedisinske, personlige eller menneskelige hensyn, må disse hensynene være "helt spesielle", jf. Ot.prp. nr. 32 (2007-2008) s. 242. Årsaken til dette er at eierforhold som regel vil være skiftende, mens kommunen skal styre arealbruken i langsiktig perspektiv.  </w:t>
              </w:r>
            </w:p>
            <w:p>
              <w:pPr>
                <w:spacing w:after="160"/>
              </w:pPr>
              <w:r>
                <w:t xml:space="preserve">I dispensasjonssøknaden viser søker blant annet til at tiltaket er i samsvar med overordnet formål, og at infrastruktur og tekniske anlegg er ivaretatt gjennom eksisterende næringsbebyggelse. Se fullstendig redegjørelse i vedlegg 4.  </w:t>
              </w:r>
            </w:p>
            <w:p>
              <w:pPr>
                <w:spacing w:after="160"/>
              </w:pPr>
              <w:r>
                <w:t xml:space="preserve">Følgende vurdering av fordeler og ulemper er gjort i vedtaket:</w:t>
              </w:r>
            </w:p>
            <w:p>
              <w:pPr>
                <w:spacing w:after="160"/>
              </w:pPr>
              <w:r>
                <w:rPr>
                  <w:i/>
                </w:rPr>
                <w:t xml:space="preserve">"Kommunen vurderer det som vesentlige fordeler at tiltaket vil bidra til effektiv arealutnyttelse og fortetting av et allerede utbygd næringsområde. Tiltaket er i tråd med formålet for eiendommen, og kan benytte seg av eksisterende infrastruktur og adkomst. Ved dispensasjon fra plankravet går man glipp av muligheten for en bredere offentlig høringsprosess. Kommunen vurderer imidlertid at utarbeiding av en reguleringsplan i dette tilfellet ikke vil gi vesentlig ny kunnskap som vil påvirke utbyggingen. Det er i tillegg gjennomført en utvidet nabovarsling av tiltaket og dispensasjonssøknaden, utover kravet til varsling av naboer og gjenboere. Det er slik lagt til rette for medvirkning i større grad enn ved en standard nabovarsling. Kart over varslede eiendommer ligger vedlagt tillatelsen</w:t>
              </w:r>
              <w:r>
                <w:rPr>
                  <w:b/>
                  <w:i/>
                </w:rPr>
                <w:t xml:space="preserve">. </w:t>
              </w:r>
              <w:r>
                <w:rPr>
                  <w:i/>
                </w:rPr>
                <w:t xml:space="preserve">Kommunen kan ikke se at tiltaket vil medføre ulemper av betydning for naboer eller allmenheten, forutsatt at tiltaket får utslippstillatelse fra forurensningsmyndigheten, og følger de vilkår som settes i denne. Det vurderes derfor samlet sett at fordelene ved å gi dispensasjon er klart større enn ulempene."</w:t>
              </w:r>
            </w:p>
            <w:p>
              <w:pPr>
                <w:spacing w:after="160"/>
              </w:pPr>
              <w:r>
                <w:t xml:space="preserve">Kommunedirektøren stiller seg bak vurderingene i det opprinnelig vedtaket, og anser fordelene å være vesentlig større enn ulempene. Det presiseres at forhold knyttet til eventuelle uønskede utslipp ikke er tatt med i vurderingen da dette ikke ivaretas av kommunen, men av forurensningsmyndigheten. </w:t>
              </w:r>
            </w:p>
            <w:p>
              <w:pPr>
                <w:spacing w:after="160"/>
              </w:pPr>
              <w:r>
                <w:rPr>
                  <w:u w:val="single"/>
                </w:rPr>
                <w:t xml:space="preserve">"Kan"-vurderingen</w:t>
              </w:r>
              <w:r>
                <w:br/>
              </w:r>
              <w:r>
                <w:t xml:space="preserve">Kommunedirektøren mener altså at begge de to rettslige dispensasjonsvilkårene er oppfylt, og at vedtaket dermed bygger på en korrekt rettsanvendelse. Når begge vilkårene er oppfylt, er det opp til kommunens skjønn om dispensasjonsadgangen skal benyttes. I vedtaket er det vurdert at tiltaket vil gi samfunnsmessige fordeler gjennom at tiltaket er i tråd med formålet for eiendommen samt at tiltaket bidrar til en ønsket fortetting av et allerede utbygd næringsområde. Det vurderes derfor hensiktsmessig å innvilge søknaden. Kommunedirektøren støtter seg til skjønnsutøvelsen i vedtaket.</w:t>
              </w:r>
            </w:p>
            <w:p>
              <w:pPr>
                <w:spacing w:after="160"/>
              </w:pPr>
              <w:r>
                <w:rPr>
                  <w:u w:val="single"/>
                </w:rPr>
                <w:t xml:space="preserve">1.3 Kommunedirektørens konklusjon</w:t>
              </w:r>
              <w:r>
                <w:br/>
              </w:r>
              <w:r>
                <w:t xml:space="preserve">Kommunedirektøren kan ikke se at klagen inneholder nye momenter som er avgjørende for vedtakets innhold. Utvalg for teknisk sektor anbefales derfor å opprettholde påklaget vedtak.</w:t>
              </w:r>
            </w:p>
            <w:p>
              <w:pPr>
                <w:spacing w:after="160"/>
              </w:pPr>
              <w:r>
                <w:t xml:space="preserve">Kommunedirektøren vil avslutningsvis understreke at dersom utvalget finner grunnlag for å ta klagen til følge og endre det påklagede vedtaket, må det utarbeide en begrunnelse som tilfredsstiller kravene i forvaltningsloven § 25.</w:t>
              </w:r>
            </w:p>
            <w:p>
              <w:pPr>
                <w:spacing w:after="160"/>
              </w:pP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t xml:space="preserve">Perspektiv</w:t>
                    </w:r>
                  </w:p>
                </w:tc>
                <w:tc>
                  <w:tcPr>
                    <w:vAlign w:val="center"/>
                  </w:tcPr>
                  <w:p>
                    <w:pPr>
                      <w:spacing w:after="160"/>
                    </w:pPr>
                    <w:r>
                      <w:t xml:space="preserve">Negativ </w:t>
                    </w:r>
                  </w:p>
                </w:tc>
                <w:tc>
                  <w:tcPr>
                    <w:vAlign w:val="center"/>
                  </w:tcPr>
                  <w:p>
                    <w:pPr>
                      <w:spacing w:after="160"/>
                    </w:pPr>
                    <w:r>
                      <w:t xml:space="preserve">Nøytral</w:t>
                    </w:r>
                  </w:p>
                </w:tc>
                <w:tc>
                  <w:tcPr>
                    <w:vAlign w:val="center"/>
                  </w:tcPr>
                  <w:p>
                    <w:pPr>
                      <w:spacing w:after="160"/>
                    </w:pPr>
                    <w:r>
                      <w:t xml:space="preserve">Positiv </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 </w:t>
              </w:r>
            </w:p>
            <w:p>
              <w:pPr>
                <w:spacing w:after="160"/>
              </w:pPr>
              <w:r>
                <w:rPr>
                  <w:b/>
                </w:rPr>
                <w:t xml:space="preserve">Referanser</w:t>
              </w:r>
              <w:r>
                <w:br/>
              </w:r>
              <w:r>
                <w:t xml:space="preserve">Plan- og bygningsloven § 19-2, </w:t>
              </w:r>
              <w:r>
                <w:br/>
              </w:r>
              <w:r>
                <w:t xml:space="preserve">Kommuneplanens arealdel pkt. 1.2</w:t>
              </w:r>
              <w:r>
                <w:br/>
              </w:r>
              <w:r>
                <w:t xml:space="preserve">Forvaltningsloven §§ 28, 29 og 32</w:t>
              </w:r>
              <w:r>
                <w:br/>
              </w:r>
              <w:r>
                <w:t xml:space="preserve">Ot.prp. nr. 32 (2007-2008) s. 242</w:t>
              </w:r>
              <w:r>
                <w:br/>
              </w:r>
              <w:r>
                <w:t xml:space="preserve">Prop. 169 L (2020-2021) s. 55</w:t>
              </w:r>
              <w:r>
                <w:br/>
              </w:r>
              <w:r>
                <w:t xml:space="preserve">SOM-2015-3269</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 Klage på vedtak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2. Innvilget dispensasjon og rammetillatelse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3. Redegjørelse for tiltak</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4. Dispensasjonssøknad</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5. Fasadetegninger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6. Fasadeillustrasjoner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7. Nabomerknad Abbas Hamdini</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8. Nabomerknad Camilla Nyby</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9. Nabomerknad 2 Camilla Nyby</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10. Nabomerknad Einar Pedersen</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11. Søknadsskjema m/vurdering av nabomerknader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12. Oversikt varslede naboer, utvidet nabovarsel</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bd1106dc51964cbb" /><Relationship Type="http://schemas.openxmlformats.org/officeDocument/2006/relationships/image" Target="/media/image.jpg" Id="R0b92ba778d4c41b7" /><Relationship Type="http://schemas.openxmlformats.org/officeDocument/2006/relationships/image" Target="/media/image2.jpg" Id="R816c449aab3b4390" /><Relationship Type="http://schemas.openxmlformats.org/officeDocument/2006/relationships/image" Target="/media/image3.jpg" Id="Rc9e8640259f54559" /><Relationship Type="http://schemas.openxmlformats.org/officeDocument/2006/relationships/image" Target="/media/image4.jpg" Id="Rc9e0fed0125441a9" /><Relationship Type="http://schemas.openxmlformats.org/officeDocument/2006/relationships/image" Target="/media/image5.jpg" Id="R61bcf65750e04152" /><Relationship Type="http://schemas.openxmlformats.org/officeDocument/2006/relationships/image" Target="/media/image6.jpg" Id="Rc487762217234741" /><Relationship Type="http://schemas.openxmlformats.org/officeDocument/2006/relationships/image" Target="/media/image7.jpg" Id="R80dcf58a6877443f" /><Relationship Type="http://schemas.openxmlformats.org/officeDocument/2006/relationships/image" Target="/media/image8.jpg" Id="R5fd8daf271d540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Klagesak - Gbnr 220/1170 - Bedriftsvegen 64 - Smådyrkrematorium</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