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24/26192</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90</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Marcus Dalene-Hafredal</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27.03.2026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29/26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19.05.2026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Klagesak - gbnr 221/2 - Bjørntvedtvegen 148 - nybygg forretning</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Klage fra sameiet Larønningen Atrium (gbnr. 221/7), datert 11.02.2026, tas ikke til følge. Klagen inneholder ingen nye momenter som er avgjørende for vedtakets innhold.</w:t>
              </w:r>
            </w:p>
            <w:p>
              <w:pPr>
                <w:pStyle w:val="ListParagraph"/>
                <w:numPr>
                  <w:ilvl w:val="0"/>
                  <w:numId w:val="1"/>
                </w:numPr>
                <w:spacing w:after="160"/>
              </w:pPr>
              <w:r>
                <w:t xml:space="preserve">Saken sendes til Statsforvalteren i Vestfold og Telemark for endelig avgjørelse.</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Saken har en omfattende historikk. Det ble gitt rammetillatelse og enkelte dispensasjoner til oppføring av et nytt Maxbo-varehus på Larønningen 26.02.2025. Vedtaket ble påklaget av naboer, men klagen ble ikke tatt til følge av utvalget. Statsforvalteren stadfestet kommunens vedtak om rammetillatelse og dispensasjoner 11.12.2025.</w:t>
              </w:r>
            </w:p>
            <w:p>
              <w:pPr>
                <w:spacing w:after="160"/>
              </w:pPr>
              <w:r>
                <w:t xml:space="preserve">Et rekkefølgekrav i reguleringsplanen krever at det opparbeides en buffersone med turvei mellom varehuset og sameiet Larønningen Atrium, før øvrige arbeider på varehustomta kan igangsettes. Det ble derfor stilt vilkår i rammetillatelsen om at buffersonen må opparbeides før igangsettingstillatelse kan gis.</w:t>
              </w:r>
            </w:p>
            <w:p>
              <w:pPr>
                <w:spacing w:after="160"/>
              </w:pPr>
              <w:r>
                <w:t xml:space="preserve">Kommunen mottok søknad om igangsettingstillatelse for grunn- og terrengarbeider og opparbeidelse av buffersonen 30.05.2025. Buffersonen var altså ikke opparbeidet på dette tidspunktet. Kommunen ga igangsettingstillatelse 30.06.2025. For å ivareta rekkefølgekravet i reguleringsplanen og vilkåret i rammetillatelsen, ble det stilt vilkår i igangsettingstillatelsen om at buffersonen måtte opparbeides før grunn- og terrengarbeidene på øvrige deler av tomta kunne igangsettes. Det hører til sakshistorikken at vilkåret ble brutt av tiltakshaver, ved at det ble fylt på med store mengder masser (forbelastning) på varehustomta før buffersonen var opparbeidet. Dette ble behandlet som en ulovlighetssak av kommunen, og det ble gitt et pålegg om stans og retting som ble etterkommet innen gitt frist.</w:t>
              </w:r>
            </w:p>
            <w:p>
              <w:pPr>
                <w:spacing w:after="160"/>
              </w:pPr>
              <w:r>
                <w:t xml:space="preserve">Igangsettingstillatelsen gitt 30.06.2025 ble påklaget av sameiet Larønningen Atrium. I utvalgsmøtet 23.09.2025 vedtok utvalget å ikke ta klagen til følge, og saken ble derfor oversendt til Statsforvalteren for endelig avgjørelse. Statsforvalteren fattet vedtak i klagesaken 19.12.2025. Vedtaket om igangsettingstillatelse ble opphevet. Statsforvalteren vurderte at kommunen ikke kunne gi igangsettingstillatelse for grunn- og terrengarbeider før buffersonen var ferdig opparbeidet. Det var ikke anledning til å gi igangsettingstillatelse med et vilkår om at buffersonen måtte opparbeides før øvrige arbeider kunne igangsettes. I stedet måtte det gis en egen igangsettingstillatelse for opparbeidelsen av buffersonen, og først når denne ble dokumentert å være ferdig opparbeidet, kunne det gis igangsettingstillatelse for øvrige arbeider.</w:t>
              </w:r>
            </w:p>
            <w:p>
              <w:pPr>
                <w:spacing w:after="160"/>
              </w:pPr>
              <w:r>
                <w:t xml:space="preserve">Kommunen måtte følgelig behandle søknaden om igangsettingstillatelse på nytt. Den 30.01.2026 ble det gitt igangsettingstillatelse for opparbeidelse av buffersonen (IG1-A). Kort tid senere mottok vi dokumentasjon på at denne var ferdig opparbeidet. Det ble gitt igangsettingstillatelse for grunn- og terrengarbeider 04.02.2026 (IG1-B).</w:t>
              </w:r>
            </w:p>
            <w:p>
              <w:pPr>
                <w:spacing w:after="160"/>
              </w:pPr>
              <w:r>
                <w:t xml:space="preserve">Vedtaket om igangsettingstillatelse for opparbeidelse av buffersonen (IG1-A) ble påklaget av sameiet Larønningen Atrium v/advokat Johan Henrik Frøstrup 11.02.2026. Det er denne klagen som nå er til behandling. Igangsettingstillatelsen for grunn- og terrengarbeider (IG1-B) er ikke påklaget.</w:t>
              </w:r>
            </w:p>
            <w:p>
              <w:pPr>
                <w:spacing w:after="160"/>
              </w:pPr>
              <w:r>
                <w:drawing>
                  <wp:inline distT="0" distB="0" distL="0" distR="0">
                    <wp:extent cx="4572000" cy="4181475"/>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fc35feaa790b4e69"/>
                            <a:srcRect/>
                            <a:stretch>
                              <a:fillRect/>
                            </a:stretch>
                          </pic:blipFill>
                          <pic:spPr bwMode="auto">
                            <a:xfrm>
                              <a:off x="0" y="0"/>
                              <a:ext cx="4572000" cy="4181475"/>
                            </a:xfrm>
                            <a:prstGeom prst="rect">
                              <a:avLst/>
                            </a:prstGeom>
                          </pic:spPr>
                        </pic:pic>
                      </a:graphicData>
                    </a:graphic>
                  </wp:inline>
                </w:drawing>
              </w:r>
            </w:p>
            <w:p>
              <w:pPr>
                <w:spacing w:after="160"/>
              </w:pPr>
              <w:r>
                <w:rPr>
                  <w:i/>
                </w:rPr>
                <w:t xml:space="preserve">Figur 1. Oversiktskart som viser tiltakets plassering.</w:t>
              </w:r>
            </w:p>
            <w:p>
              <w:pPr>
                <w:spacing w:after="160"/>
              </w:pPr>
              <w:r>
                <w:drawing>
                  <wp:inline distT="0" distB="0" distL="0" distR="0">
                    <wp:extent cx="3810000" cy="411480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b4a0845a0dd4482f"/>
                            <a:srcRect/>
                            <a:stretch>
                              <a:fillRect/>
                            </a:stretch>
                          </pic:blipFill>
                          <pic:spPr bwMode="auto">
                            <a:xfrm>
                              <a:off x="0" y="0"/>
                              <a:ext cx="3810000" cy="4114800"/>
                            </a:xfrm>
                            <a:prstGeom prst="rect">
                              <a:avLst/>
                            </a:prstGeom>
                          </pic:spPr>
                        </pic:pic>
                      </a:graphicData>
                    </a:graphic>
                  </wp:inline>
                </w:drawing>
              </w:r>
            </w:p>
            <w:p>
              <w:pPr>
                <w:spacing w:after="160"/>
              </w:pPr>
              <w:r>
                <w:rPr>
                  <w:i/>
                </w:rPr>
                <w:t xml:space="preserve">Figur 2. Situasjonskart. Klagernes eiendom ligger nord for varehuset.</w:t>
              </w:r>
            </w:p>
            <w:p>
              <w:pPr>
                <w:spacing w:after="160"/>
              </w:pPr>
              <w:r>
                <w:drawing>
                  <wp:inline distT="0" distB="0" distL="0" distR="0">
                    <wp:extent cx="3829050" cy="4276725"/>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bfe47fb002604f26"/>
                            <a:srcRect/>
                            <a:stretch>
                              <a:fillRect/>
                            </a:stretch>
                          </pic:blipFill>
                          <pic:spPr bwMode="auto">
                            <a:xfrm>
                              <a:off x="0" y="0"/>
                              <a:ext cx="3829050" cy="4276725"/>
                            </a:xfrm>
                            <a:prstGeom prst="rect">
                              <a:avLst/>
                            </a:prstGeom>
                          </pic:spPr>
                        </pic:pic>
                      </a:graphicData>
                    </a:graphic>
                  </wp:inline>
                </w:drawing>
              </w:r>
            </w:p>
            <w:p>
              <w:pPr>
                <w:spacing w:after="160"/>
              </w:pPr>
              <w:r>
                <w:rPr>
                  <w:i/>
                </w:rPr>
                <w:t xml:space="preserve">Figur 3. Utomhusplan som blant annet viser buffersonen mellom varehuset og sameiet.</w:t>
              </w:r>
            </w:p>
            <w:p>
              <w:pPr>
                <w:spacing w:after="160"/>
              </w:pPr>
              <w:r>
                <w:drawing>
                  <wp:inline distT="0" distB="0" distL="0" distR="0">
                    <wp:extent cx="3990974" cy="4105274"/>
                    <wp:effectExtent l="19050" t="0" r="0" b="0"/>
                    <wp:docPr id="5"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37b33290829f43e3"/>
                            <a:srcRect/>
                            <a:stretch>
                              <a:fillRect/>
                            </a:stretch>
                          </pic:blipFill>
                          <pic:spPr bwMode="auto">
                            <a:xfrm>
                              <a:off x="0" y="0"/>
                              <a:ext cx="3990974" cy="4105274"/>
                            </a:xfrm>
                            <a:prstGeom prst="rect">
                              <a:avLst/>
                            </a:prstGeom>
                          </pic:spPr>
                        </pic:pic>
                      </a:graphicData>
                    </a:graphic>
                  </wp:inline>
                </w:drawing>
              </w:r>
            </w:p>
            <w:p>
              <w:pPr>
                <w:spacing w:after="160"/>
              </w:pPr>
              <w:r>
                <w:rPr>
                  <w:i/>
                </w:rPr>
                <w:t xml:space="preserve">Figur 4. Tiltaket vist på plankart. Området hvor varehuset skal oppføres er regulert til forretning/lager/industri. FT1, det grønne området i nord mot grensen til sameiet, er regulert til turvei og vil fungere som en buffersone mellom varehuset og sameiet.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1. Klagens innhold og kommunedirektørens vurderinger</w:t>
              </w:r>
            </w:p>
            <w:p>
              <w:pPr>
                <w:spacing w:after="160"/>
              </w:pPr>
              <w:r>
                <w:rPr>
                  <w:b/>
                  <w:u w:val="single"/>
                </w:rPr>
                <w:t xml:space="preserve">1.1 Klagens innhold</w:t>
              </w:r>
              <w:r>
                <w:br/>
              </w:r>
              <w:r>
                <w:t xml:space="preserve">Det er tre ukers klagefrist og klagen er rettidig, jf. forvaltningsloven (fvl.) § 29. Innsendt klage oppfyller de materielle kravene i fvl. § 32. Sameiet er nabo til tiltaket, og har således klagerett, jf. fvl. § 28 første ledd.</w:t>
              </w:r>
            </w:p>
            <w:p>
              <w:pPr>
                <w:spacing w:after="160"/>
              </w:pPr>
              <w:r>
                <w:rPr>
                  <w:u w:val="single"/>
                </w:rPr>
                <w:t xml:space="preserve">Oppsummert har klagerne anført følgende:</w:t>
              </w:r>
            </w:p>
            <w:p>
              <w:pPr>
                <w:pStyle w:val="ListParagraph"/>
                <w:numPr>
                  <w:ilvl w:val="0"/>
                  <w:numId w:val="2"/>
                </w:numPr>
                <w:spacing w:after="160"/>
              </w:pPr>
              <w:r>
                <w:rPr>
                  <w:b/>
                </w:rPr>
                <w:t xml:space="preserve">Vedtaket er ugyldig:</w:t>
              </w:r>
              <w:r>
                <w:t xml:space="preserve"> Vedtaket er ikke dekkende for de rettslige og faktiske realiteter, da buffersonen var ferdig opparbeidet allerede 12.11.2025. Før dette ble det gjennomført forbelastning åtte meter inn i buffersonen, i strid med kravet om opparbeidelse av denne før øvrige arbeider kunne påbegynnes. Ved forbelastning må grunnen belastes langt utenfor byggegropen. Dersom buffersonen hadde blitt opparbeidet før forbelastningen ble gjennomført, ville det ikke vært mulig å forbelaste et like stort område, og varehuset ville dermed blitt liggende lengre unna sameiet. Skulle bruddet på rekkefølgekravet fått noen reell konsekvens, burde hele fyllingen vært fjernet og komprimering deretter gjennomført på riktig måte. Dette er en svært alvorlig saksbehandling som må medføre at selve vedtaket om byggetillatelse er ugyldig. Kommunens etterfølgende godkjenning av brudd på rekkefølgekravet er uansett en saksbehandlingsfeil som har medført et betydelig økonomisk tap for sameierne, siden bygget kommer åtte meter nærmere sameiet enn nødvendig.</w:t>
              </w:r>
            </w:p>
            <w:p>
              <w:pPr>
                <w:pStyle w:val="ListParagraph"/>
                <w:numPr>
                  <w:ilvl w:val="0"/>
                  <w:numId w:val="2"/>
                </w:numPr>
                <w:spacing w:after="160"/>
              </w:pPr>
              <w:r>
                <w:rPr>
                  <w:b/>
                </w:rPr>
                <w:t xml:space="preserve">Beplantningen av trær nær nabogrensen er uheldig:</w:t>
              </w:r>
              <w:r>
                <w:t xml:space="preserve"> Tiltakshaver har plantet trær i buffersonen ca. 1-2 meter fra eiendomsgrensen mot sameiet. Det er plantet sølvpil og rogn. En sølvpil kan lett bli 15-25 meter høy, og allerede neste år vil høyden trolig komme i strid med høydereglene for trær mot nabogrensen etter naboloven § 3. Det vil være mer hensiktsmessig å fjerne trærne og heller beplante en eføy eller lignende oppover varehusveggen mot sameiet.</w:t>
              </w:r>
            </w:p>
            <w:p>
              <w:pPr>
                <w:pStyle w:val="ListParagraph"/>
                <w:numPr>
                  <w:ilvl w:val="0"/>
                  <w:numId w:val="2"/>
                </w:numPr>
                <w:spacing w:after="160"/>
              </w:pPr>
              <w:r>
                <w:rPr>
                  <w:b/>
                </w:rPr>
                <w:t xml:space="preserve">Manglende vurderinger av overvannshåndtering: </w:t>
              </w:r>
              <w:r>
                <w:t xml:space="preserve">Igangsettingstillatelse burde ikke vært gitt uten å foreta kontrollmålinger av at vann som renner i buffersonen infiltreres i grunnen og at overflatevann fra byggefeltet går i sluk. I høst ble det observert mye vann i grøften i mange dager etter siste regnfall. I vurderingen av avløpsløsningen er det heller ikke tatt hensyn til Statens vegvesen sine planer om å bygge fortau og gang- og sykkelvei fra rundkjøringen og bort til boligene på Larønningen.</w:t>
              </w:r>
            </w:p>
            <w:p>
              <w:pPr>
                <w:spacing w:after="160"/>
              </w:pPr>
              <w:r>
                <w:t xml:space="preserve">Se vedlegg nr. 1 og 2 for å lese klagen i sin helhet.</w:t>
              </w:r>
            </w:p>
            <w:p>
              <w:pPr>
                <w:spacing w:after="160"/>
              </w:pPr>
              <w:r>
                <w:rPr>
                  <w:u w:val="single"/>
                </w:rPr>
                <w:t xml:space="preserve">Oppsummert har ansvarlig søker kommentert klagen slik:</w:t>
              </w:r>
            </w:p>
            <w:p>
              <w:pPr>
                <w:pStyle w:val="ListParagraph"/>
                <w:numPr>
                  <w:ilvl w:val="0"/>
                  <w:numId w:val="3"/>
                </w:numPr>
                <w:spacing w:after="160"/>
              </w:pPr>
              <w:r>
                <w:rPr>
                  <w:b/>
                </w:rPr>
                <w:t xml:space="preserve">Rekkefølgekrav og byggets plassering: </w:t>
              </w:r>
              <w:r>
                <w:t xml:space="preserve">Den påklagede igangsettingstillatelsen gjelder kun opparbeidelse av buffersonen. Byggets plassering er fastlagt i rammetillatelsen, og er ikke gjenstand for vurdering i denne klagesaken. Tiltakshaver bestrider at rekkefølgekravet har hatt betydning for byggets plassering. Grunnarbeider og forbelastning er prosjektert slik at byggets plassering ville vært den samme uavhengig av rekkefølgen på opparbeidelsen av buffersonen.</w:t>
              </w:r>
            </w:p>
            <w:p>
              <w:pPr>
                <w:pStyle w:val="ListParagraph"/>
                <w:numPr>
                  <w:ilvl w:val="0"/>
                  <w:numId w:val="3"/>
                </w:numPr>
                <w:spacing w:after="160"/>
              </w:pPr>
              <w:r>
                <w:rPr>
                  <w:b/>
                </w:rPr>
                <w:t xml:space="preserve">Beplantning i buffersonen: </w:t>
              </w:r>
              <w:r>
                <w:t xml:space="preserve">Beplantningen i buffersonen er i tråd med den godkjente utomhusplanen. Anførselen om nabolovens regler om trær nær nabogrense er privatrettslig og faller utenfor byggesaken.</w:t>
              </w:r>
            </w:p>
            <w:p>
              <w:pPr>
                <w:pStyle w:val="ListParagraph"/>
                <w:numPr>
                  <w:ilvl w:val="0"/>
                  <w:numId w:val="3"/>
                </w:numPr>
                <w:spacing w:after="160"/>
              </w:pPr>
              <w:r>
                <w:rPr>
                  <w:b/>
                </w:rPr>
                <w:t xml:space="preserve">Overvann og infiltrasjon: </w:t>
              </w:r>
              <w:r>
                <w:t xml:space="preserve">Overvannshåndtering i buffersonen er prosjektert og godkjent som del av byggesaken. Løsningen er dimensjonert for gjeldende krav til nedbør og utslipp til kommunalt nett. Observasjoner av vann i perioder etter nedbør dokumenterer ikke at løsningen er mangelfull eller at vilkårene for igangsettingstillatelse ikke er oppfylt. Eventuelle fremtidige planer fra Statens vegvesen er ikke relevante for vurderingen av lovligheten av vedtaket.</w:t>
              </w:r>
            </w:p>
            <w:p>
              <w:pPr>
                <w:pStyle w:val="ListParagraph"/>
                <w:numPr>
                  <w:ilvl w:val="0"/>
                  <w:numId w:val="3"/>
                </w:numPr>
                <w:spacing w:after="160"/>
              </w:pPr>
              <w:r>
                <w:rPr>
                  <w:b/>
                </w:rPr>
                <w:t xml:space="preserve">Vedtaket er gyldig:</w:t>
              </w:r>
              <w:r>
                <w:t xml:space="preserve"> Vedtaket om igangsettingstillatelse er truffet på korrekt faktisk og rettslig grunnlag.</w:t>
              </w:r>
            </w:p>
            <w:p>
              <w:pPr>
                <w:spacing w:after="160"/>
              </w:pPr>
              <w:r>
                <w:t xml:space="preserve">Se vedlegg nr. 3 for å lese uttalelsen i sin helhet.</w:t>
              </w:r>
            </w:p>
            <w:p>
              <w:pPr>
                <w:spacing w:after="160"/>
              </w:pPr>
              <w:r>
                <w:rPr>
                  <w:b/>
                  <w:u w:val="single"/>
                </w:rPr>
                <w:t xml:space="preserve">1.2 Kommunedirektørens vurdering av klage</w:t>
              </w:r>
              <w:r>
                <w:br/>
              </w:r>
              <w:r>
                <w:t xml:space="preserve">Saken gjelder klage på igangsettingstillatelse til å opparbeide buffersonen mellom det kommende Maxbo-varehuset og sameiet Larønningen Atrium. En søknad om byggetillatelse kan deles opp i rammesøknad og igangsetningstilatelse(r). Tiltakets ytre rammer skal avgjøres i rammetillatelsen, mens avklaring av øvrige forhold kan avvente frem til søknad om igangsettingstillatelse. Tiltaket kan ikke igangsettes før igangsettingstillatelse foreligger. </w:t>
              </w:r>
            </w:p>
            <w:p>
              <w:pPr>
                <w:spacing w:after="160"/>
              </w:pPr>
              <w:r>
                <w:t xml:space="preserve">Spørsmålet i klagesaken er om den gitte igangsettingstillatelsen er gyldig.</w:t>
              </w:r>
            </w:p>
            <w:p>
              <w:pPr>
                <w:spacing w:after="160"/>
              </w:pPr>
              <w:r>
                <w:rPr>
                  <w:u w:val="single"/>
                </w:rPr>
                <w:t xml:space="preserve">1.2.1 Anførsel om byggets plassering</w:t>
              </w:r>
              <w:r>
                <w:br/>
              </w:r>
              <w:r>
                <w:t xml:space="preserve">Komunedirektøren forstår klagen slik at sameiet mener at selve rammetillatelsen må kjennes ugyldig, som følge av bruddet på kravet om å opparbeide buffersonen før oppstart av øvrige arbeider. Sameiet mener at byggets plassering ville blitt annerledes dersom buffersonen hadde blitt opparbeidet først. </w:t>
              </w:r>
            </w:p>
            <w:p>
              <w:pPr>
                <w:spacing w:after="160"/>
              </w:pPr>
              <w:r>
                <w:t xml:space="preserve">Kommunedirektøren mener at det er uheldig at reguleringsplanens forutsatte rekkefølge på arbeidene ble brutt, men hvorvidt tiltakets plassering ville blitt annerledes dersom planens rekkefølge hadde blitt fulgt, anses som en hypotetisk problemstilling. Det er viktig å understreke at den foreliggende klagesaken gjelder gyldigheten av igangsettingstillatelsen for opparbeidelse av buffersonen, og at byggets plassering ble avgjort i rammetillatelsen. Rammetillatelsen er ikke gjenstand for behandling i denne saken. </w:t>
              </w:r>
            </w:p>
            <w:p>
              <w:pPr>
                <w:spacing w:after="160"/>
              </w:pPr>
              <w:r>
                <w:t xml:space="preserve">Kommunedirektøren kan for øvrig ikke se at bruddet på rekkefølgekravet har betydning for gyldigheten av rammetillatelsen, ettersom byggets godkjente plassering er i tråd med bestemmelsene i både reguleringsplanen og plan- og bygningsloven. Byggets godkjente plassering har ikke blitt endret etter at rammetillatelsen ble gitt.</w:t>
              </w:r>
            </w:p>
            <w:p>
              <w:pPr>
                <w:spacing w:after="160"/>
              </w:pPr>
              <w:r>
                <w:rPr>
                  <w:u w:val="single"/>
                </w:rPr>
                <w:t xml:space="preserve">1.2.2 Anførsel om uheldig beplantning av trær i buffersonen</w:t>
              </w:r>
              <w:r>
                <w:br/>
              </w:r>
              <w:r>
                <w:t xml:space="preserve">Klagerne har anført at trærne i buffersonen trolig vil komme i konflikt med høydereglene for trær etter naboloven § 3 om 1-2 år. Kommunedirektøren vurderer at dette er et privatrettslig forhold som ligger utenfor det bygningsmyndigheten skal ta stilling til, jf. plan- og bygningsloven § 21-6, og noe partene selv må håndtere seg i mellom dersom det skulle bli en problemstilling. Anførselen har ingen betydning for gyldigheten av igangsettingstillatelsen.</w:t>
              </w:r>
            </w:p>
            <w:p>
              <w:pPr>
                <w:spacing w:after="160"/>
              </w:pPr>
              <w:r>
                <w:rPr>
                  <w:u w:val="single"/>
                </w:rPr>
                <w:t xml:space="preserve">1.2.3 Anførsel om manglende vurderinger av overvannshåndtering</w:t>
              </w:r>
              <w:r>
                <w:br/>
              </w:r>
              <w:r>
                <w:t xml:space="preserve">Klagerne mener videre at igangsettingstillatelse ikke burde vært gitt uten å først gjennomføre kontrollmålinger av at vann som renner i buffersonen infiltreres i grunnen og at overflatevann fra byggefeltet vil gå i sluk. Kommunedirektøren understreker igjen at igangsettingstillatelsen gjelder nettopp opparbeidelse av buffersonen, hvor løsning for overvannshåndtering er en del av den godkjente utomhusplanen. Selv om buffersonen allerede var opparbeidet da igangsettingstillatelsen ble gitt, må søknaden behandles som om tiltaket ikke var påbegynt. Det må dessuten skilles tydelig mellom byggesaksbehandling og tilsyn. Dersom kommunen hadde foretatt kontrollmålinger eller krevd dokumentasjon på at slike var foretatt, ville man beveget seg over i tilsynssporet.</w:t>
              </w:r>
            </w:p>
            <w:p>
              <w:pPr>
                <w:spacing w:after="160"/>
              </w:pPr>
              <w:r>
                <w:t xml:space="preserve">Når det gjelder klagernes henvisning til Statens vegvesens fremtidige planer om fortau og gang- og sykkelvei, er heller ikke dette relevant for gyldigheten av igangsettingstillatelsen. Tiltakets ytre rammer er som nevnt avgjort i rammetillatelsen, som ble påklaget og senere stadfestet av Statsforvalteren.</w:t>
              </w:r>
            </w:p>
            <w:p>
              <w:pPr>
                <w:spacing w:after="160"/>
              </w:pPr>
              <w:r>
                <w:rPr>
                  <w:b/>
                  <w:u w:val="single"/>
                </w:rPr>
                <w:t xml:space="preserve">1.3 Kommunedirektørens konklusjon</w:t>
              </w:r>
              <w:r>
                <w:br/>
              </w:r>
              <w:r>
                <w:t xml:space="preserve">På bakgrunn av vurderingene ovenfor, kan kommunedirektøren ikke se at klagen inneholder nye momenter som er avgjørende for vedtakets innhold. Utvalg for teknisk sektor anbefales derfor å opprettholde påklaget vedtak.</w:t>
              </w:r>
            </w:p>
            <w:p>
              <w:pPr>
                <w:spacing w:after="160"/>
              </w:pPr>
              <w:r>
                <w:t xml:space="preserve">Kommunedirektøren vil avslutningsvis understreke at dersom utvalget finner grunnlag for å ta klagen til følge og endre det påklagede vedtaket, må det utarbeide en begrunnelse som tilfredsstiller kravene i forvaltningsloven § 25.</w:t>
              </w:r>
            </w:p>
            <w:p>
              <w:pPr>
                <w:spacing w:after="160"/>
              </w:pP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t xml:space="preserve">Perspektiv</w:t>
                    </w:r>
                  </w:p>
                </w:tc>
                <w:tc>
                  <w:tcPr>
                    <w:vAlign w:val="center"/>
                  </w:tcPr>
                  <w:p>
                    <w:pPr>
                      <w:spacing w:after="160"/>
                    </w:pPr>
                    <w:r>
                      <w:t xml:space="preserve">Negativ </w:t>
                    </w:r>
                  </w:p>
                </w:tc>
                <w:tc>
                  <w:tcPr>
                    <w:vAlign w:val="center"/>
                  </w:tcPr>
                  <w:p>
                    <w:pPr>
                      <w:spacing w:after="160"/>
                    </w:pPr>
                    <w:r>
                      <w:t xml:space="preserve">Nøytral</w:t>
                    </w:r>
                  </w:p>
                </w:tc>
                <w:tc>
                  <w:tcPr>
                    <w:vAlign w:val="center"/>
                  </w:tcPr>
                  <w:p>
                    <w:pPr>
                      <w:spacing w:after="160"/>
                    </w:pPr>
                    <w:r>
                      <w:t xml:space="preserve">Positiv </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 </w:t>
              </w:r>
            </w:p>
            <w:p>
              <w:pPr>
                <w:spacing w:after="160"/>
              </w:pPr>
              <w:r>
                <w:rPr>
                  <w:b/>
                </w:rPr>
                <w:t xml:space="preserve">Referanser</w:t>
              </w:r>
              <w:r>
                <w:br/>
              </w:r>
              <w:r>
                <w:t xml:space="preserve">Forvaltningsloven §§ 28, 28 og 32</w:t>
              </w:r>
              <w:r>
                <w:br/>
              </w:r>
              <w:r>
                <w:t xml:space="preserve">Plan- og bygningsloven § 21-6</w:t>
              </w:r>
              <w:r>
                <w:br/>
              </w:r>
              <w:r>
                <w:rPr>
                  <w:i/>
                </w:rPr>
                <w:t xml:space="preserve">Reguleringsplan for Larønningen, gnr. 221, bnr. 2,3 og 2138</w:t>
              </w:r>
              <w:r>
                <w:t xml:space="preserve">, planid 4003_925</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 Klage på vedtak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2. Vedlegg til klage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3. Uttalelse fra ansvarlig søker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4. Påklaget vedtak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5. Søknad om IG m/vedlegg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6. Rammetillatelse</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c833164e6ccb49d2" /><Relationship Type="http://schemas.openxmlformats.org/officeDocument/2006/relationships/image" Target="/media/image.jpg" Id="Rfc35feaa790b4e69" /><Relationship Type="http://schemas.openxmlformats.org/officeDocument/2006/relationships/image" Target="/media/image2.jpg" Id="Rb4a0845a0dd4482f" /><Relationship Type="http://schemas.openxmlformats.org/officeDocument/2006/relationships/image" Target="/media/image3.jpg" Id="Rbfe47fb002604f26" /><Relationship Type="http://schemas.openxmlformats.org/officeDocument/2006/relationships/image" Target="/media/image4.jpg" Id="R37b33290829f43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Klagesak - gbnr 221/2 - Bjørntvedtvegen 148 - nybygg forretning</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