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26/11933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11.05.2026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teknisk sektor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19.05.2026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Vedtak i klagesak - gbnr 283/916 Dalsbygdvegen - tremannsbolig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Vedtak i klagesak - Reguleringsplan - Skien - 2/565 Strømdaljordet 2 - detaljregulering - planID 4003 2019009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