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26/12228</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Anne Lene Andersen Watn</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15.05.2026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Partssammensatt utvalg</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Rapportering heltidskultur - PSU 26.05.26</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Kommunedirektøren anbefaler at partssammensatt utvalg tar statusrapporten til orientering.</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 </w:t>
              </w:r>
            </w:p>
            <w:p>
              <w:pPr>
                <w:spacing w:after="160"/>
              </w:pPr>
              <w:r>
                <w:t xml:space="preserve">I Partssammensatt utvalg (PSU) 08.06.22 ble det vedtatt et heltidskulturprosjekt i (da) Helse og velferd med målsetting om å oppnå høyest mulig andel heltidsstillinger og fokus på heltidskultur i hele kommunalområdet. I PSU 21.05.24 ble det foretatt en justering av tallgrunnlaget i rapporteringen på andel heltid og heltidskultur med bakgrunn i hvordan nasjonale tall på dette området rapporteres (jf. sak 11/24). Målsettingen om andel personer i 100% i Helse og mestring er 52% i 2026. </w:t>
              </w:r>
            </w:p>
            <w:p>
              <w:pPr>
                <w:spacing w:after="160"/>
              </w:pPr>
              <w:r>
                <w:t xml:space="preserve">PSU har definert heltidskultur i Helse og mestring som: </w:t>
              </w:r>
              <w:r>
                <w:rPr>
                  <w:i/>
                </w:rPr>
                <w:t xml:space="preserve">“Helse og velferd har en kultur med gjennomsnittlig stillingsstørrelse på over 80% stilling”. </w:t>
              </w:r>
              <w:r>
                <w:t xml:space="preserve"> </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 </w:t>
              </w:r>
            </w:p>
            <w:p>
              <w:pPr>
                <w:spacing w:after="160"/>
              </w:pPr>
              <w:r>
                <w:t xml:space="preserve"> </w:t>
              </w:r>
            </w:p>
            <w:p>
              <w:pPr>
                <w:spacing w:after="160"/>
              </w:pPr>
              <w:r>
                <w:rPr>
                  <w:u w:val="single"/>
                </w:rPr>
                <w:t xml:space="preserve">Status heltidskulturarbeidet i Helse og mestring </w:t>
              </w:r>
            </w:p>
            <w:p>
              <w:pPr>
                <w:spacing w:after="160"/>
              </w:pPr>
              <w:r>
                <w:t xml:space="preserve">Jf. sak 11/24 ble det besluttet å sette målepunkt for heltidskultur til 31.12. Tabellen under viser målsetning og resultater fra 2023 og frem til 2025. I tillegg fremkommer målsetning for 2026.</w:t>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rPr>
                  <w:u w:val="single"/>
                </w:rPr>
                <w:t xml:space="preserve">Mål og resultater heltidskultur Helse og Mestring:</w:t>
              </w:r>
            </w:p>
            <w:tbl>
              <w:tblPr>
                <w:tblStyle w:val="TableGrid"/>
                <w:tblW w:w="8553" w:type="dxa"/>
                <w:tblBorders>
                  <w:top w:val="none" w:color="000000" w:sz="0"/>
                  <w:left w:val="none" w:color="000000" w:sz="0"/>
                  <w:bottom w:val="none" w:color="000000" w:sz="0"/>
                  <w:right w:val="none" w:color="000000" w:sz="0"/>
                </w:tblBorders>
                <w:tblLayout w:type="fixed"/>
                <w:tblLook w:firstRow="false" w:lastRow="false" w:firstColumn="false" w:lastColumn="false"/>
              </w:tblPr>
              <w:tblGrid>
                <w:gridCol w:w="1674.6773999999998"/>
                <w:gridCol w:w="707.3331"/>
                <w:gridCol w:w="982.7397"/>
                <w:gridCol w:w="784.3100999999999"/>
                <w:gridCol w:w="982.7397"/>
                <w:gridCol w:w="630.3561"/>
                <w:gridCol w:w="982.7397"/>
                <w:gridCol w:w="805.6926"/>
                <w:gridCol w:w="1002.4116"/>
              </w:tblGrid>
              <w:tr>
                <w:trPr>
                  <w:trHeight w:val="494" w:hRule="atLeast"/>
                </w:trPr>
                <w:tc>
                  <w:tcPr>
                    <w:tcW w:w="1640" w:type="auto"/>
                    <w:tcMar>
                      <w:left w:w="108" w:type="dxa"/>
                      <w:right w:w="108" w:type="dxa"/>
                    </w:tcMar>
                    <w:vAlign w:val="top"/>
                  </w:tcPr>
                  <w:p>
                    <w:pPr>
                      <w:spacing w:after="160"/>
                    </w:pPr>
                    <w:r>
                      <w:t xml:space="preserve"> </w:t>
                    </w:r>
                  </w:p>
                </w:tc>
                <w:tc>
                  <w:tcPr>
                    <w:tcW w:w="1660" w:type="auto"/>
                    <w:gridSpan w:val="2"/>
                    <w:tcBorders>
                      <w:top w:val="single" w:color="000000" w:sz="0"/>
                      <w:left w:val="none" w:color="000000" w:sz="0"/>
                      <w:bottom w:val="single" w:color="000000" w:sz="0"/>
                      <w:right w:val="single" w:color="000000" w:sz="0"/>
                    </w:tcBorders>
                    <w:tcMar>
                      <w:left w:w="108" w:type="dxa"/>
                      <w:right w:w="108" w:type="dxa"/>
                    </w:tcMar>
                    <w:vAlign w:val="top"/>
                  </w:tcPr>
                  <w:p>
                    <w:pPr>
                      <w:jc w:val="center"/>
                      <w:spacing w:after="160"/>
                    </w:pPr>
                    <w:r>
                      <w:rPr>
                        <w:b/>
                        <w:vertAlign w:val="subscript"/>
                      </w:rPr>
                      <w:t xml:space="preserve">2023</w:t>
                    </w:r>
                  </w:p>
                </w:tc>
                <w:tc>
                  <w:tcPr>
                    <w:tcW w:w="1740" w:type="auto"/>
                    <w:gridSpan w:val="2"/>
                    <w:tcBorders>
                      <w:top w:val="single" w:color="000000" w:sz="0"/>
                      <w:left w:val="none" w:color="000000" w:sz="0"/>
                      <w:bottom w:val="single" w:color="000000" w:sz="0"/>
                      <w:right w:val="single" w:color="000000" w:sz="0"/>
                    </w:tcBorders>
                    <w:tcMar>
                      <w:left w:w="108" w:type="dxa"/>
                      <w:right w:w="108" w:type="dxa"/>
                    </w:tcMar>
                    <w:vAlign w:val="top"/>
                  </w:tcPr>
                  <w:p>
                    <w:pPr>
                      <w:jc w:val="center"/>
                      <w:spacing w:after="160"/>
                    </w:pPr>
                    <w:r>
                      <w:rPr>
                        <w:b/>
                        <w:vertAlign w:val="subscript"/>
                      </w:rPr>
                      <w:t xml:space="preserve">2024</w:t>
                    </w:r>
                  </w:p>
                </w:tc>
                <w:tc>
                  <w:tcPr>
                    <w:tcW w:w="1580" w:type="auto"/>
                    <w:gridSpan w:val="2"/>
                    <w:tcBorders>
                      <w:top w:val="single" w:color="000000" w:sz="0"/>
                      <w:left w:val="none" w:color="000000" w:sz="0"/>
                      <w:bottom w:val="single" w:color="000000" w:sz="0"/>
                      <w:right w:val="single" w:color="000000" w:sz="0"/>
                    </w:tcBorders>
                    <w:tcMar>
                      <w:left w:w="108" w:type="dxa"/>
                      <w:right w:w="108" w:type="dxa"/>
                    </w:tcMar>
                    <w:vAlign w:val="top"/>
                  </w:tcPr>
                  <w:p>
                    <w:pPr>
                      <w:jc w:val="center"/>
                      <w:spacing w:after="160"/>
                    </w:pPr>
                    <w:r>
                      <w:rPr>
                        <w:b/>
                        <w:vertAlign w:val="subscript"/>
                      </w:rPr>
                      <w:t xml:space="preserve">2025</w:t>
                    </w:r>
                  </w:p>
                </w:tc>
                <w:tc>
                  <w:tcPr>
                    <w:tcW w:w="1580" w:type="auto"/>
                    <w:gridSpan w:val="2"/>
                    <w:tcBorders>
                      <w:top w:val="single" w:color="000000" w:sz="0"/>
                      <w:left w:val="none" w:color="000000" w:sz="0"/>
                      <w:bottom w:val="single" w:color="000000" w:sz="0"/>
                      <w:right w:val="single" w:color="000000" w:sz="0"/>
                    </w:tcBorders>
                    <w:tcMar>
                      <w:left w:w="108" w:type="dxa"/>
                      <w:right w:w="108" w:type="dxa"/>
                    </w:tcMar>
                    <w:vAlign w:val="top"/>
                  </w:tcPr>
                  <w:p>
                    <w:pPr>
                      <w:jc w:val="center"/>
                      <w:spacing w:after="160"/>
                    </w:pPr>
                    <w:r>
                      <w:rPr>
                        <w:b/>
                        <w:vertAlign w:val="subscript"/>
                      </w:rPr>
                      <w:t xml:space="preserve">2026</w:t>
                    </w:r>
                  </w:p>
                </w:tc>
              </w:tr>
              <w:tr>
                <w:trPr>
                  <w:tblCellSpacing w:w="0" w:type="dxa"/>
                </w:trPr>
                <w:tc>
                  <w:tcPr>
                    <w:tcW w:w="16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 </w:t>
                    </w:r>
                  </w:p>
                </w:tc>
                <w:tc>
                  <w:tcPr>
                    <w:tcW w:w="6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vertAlign w:val="subscript"/>
                      </w:rPr>
                      <w:t xml:space="preserve"> Mål</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vertAlign w:val="subscript"/>
                      </w:rPr>
                      <w:t xml:space="preserve">Resultat</w:t>
                    </w:r>
                  </w:p>
                </w:tc>
                <w:tc>
                  <w:tcPr>
                    <w:tcW w:w="7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vertAlign w:val="subscript"/>
                      </w:rPr>
                      <w:t xml:space="preserve">Mål</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vertAlign w:val="subscript"/>
                      </w:rPr>
                      <w:t xml:space="preserve">Resultat</w:t>
                    </w:r>
                  </w:p>
                </w:tc>
                <w:tc>
                  <w:tcPr>
                    <w:tcW w:w="6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vertAlign w:val="subscript"/>
                      </w:rPr>
                      <w:t xml:space="preserve">Mål</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vertAlign w:val="subscript"/>
                      </w:rPr>
                      <w:t xml:space="preserve">Resultat</w:t>
                    </w:r>
                  </w:p>
                </w:tc>
                <w:tc>
                  <w:tcPr>
                    <w:tcW w:w="6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vertAlign w:val="subscript"/>
                      </w:rPr>
                      <w:t xml:space="preserve">Mål</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vertAlign w:val="subscript"/>
                      </w:rPr>
                      <w:t xml:space="preserve">Resultat</w:t>
                    </w:r>
                  </w:p>
                </w:tc>
              </w:tr>
              <w:tr>
                <w:trPr>
                  <w:tblCellSpacing w:w="0" w:type="dxa"/>
                </w:trPr>
                <w:tc>
                  <w:tcPr>
                    <w:tcW w:w="16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vertAlign w:val="subscript"/>
                      </w:rPr>
                      <w:t xml:space="preserve">Gjennomsnittlig</w:t>
                    </w:r>
                  </w:p>
                  <w:p>
                    <w:pPr>
                      <w:spacing w:after="160"/>
                    </w:pPr>
                    <w:r>
                      <w:rPr>
                        <w:vertAlign w:val="subscript"/>
                      </w:rPr>
                      <w:t xml:space="preserve">Stillingsstr.</w:t>
                    </w:r>
                  </w:p>
                </w:tc>
                <w:tc>
                  <w:tcPr>
                    <w:tcW w:w="6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 </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vertAlign w:val="subscript"/>
                      </w:rPr>
                      <w:t xml:space="preserve">75%</w:t>
                    </w:r>
                  </w:p>
                </w:tc>
                <w:tc>
                  <w:tcPr>
                    <w:tcW w:w="7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vertAlign w:val="subscript"/>
                      </w:rPr>
                      <w:t xml:space="preserve">76%</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rPr>
                        <w:vertAlign w:val="subscript"/>
                      </w:rPr>
                      <w:t xml:space="preserve">75%</w:t>
                    </w:r>
                  </w:p>
                </w:tc>
                <w:tc>
                  <w:tcPr>
                    <w:tcW w:w="62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rPr>
                        <w:vertAlign w:val="subscript"/>
                      </w:rPr>
                      <w:t xml:space="preserve">79%</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rPr>
                        <w:vertAlign w:val="subscript"/>
                      </w:rPr>
                      <w:t xml:space="preserve">74%</w:t>
                    </w:r>
                  </w:p>
                </w:tc>
                <w:tc>
                  <w:tcPr>
                    <w:tcW w:w="62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rPr>
                        <w:vertAlign w:val="subscript"/>
                      </w:rPr>
                      <w:t xml:space="preserve">82%</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rPr>
                        <w:vertAlign w:val="subscript"/>
                      </w:rPr>
                      <w:t xml:space="preserve"> </w:t>
                    </w:r>
                  </w:p>
                </w:tc>
              </w:tr>
              <w:tr>
                <w:trPr>
                  <w:tblCellSpacing w:w="0" w:type="dxa"/>
                </w:trPr>
                <w:tc>
                  <w:tcPr>
                    <w:tcW w:w="16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vertAlign w:val="subscript"/>
                      </w:rPr>
                      <w:t xml:space="preserve">Heltidsandel (100%)</w:t>
                    </w:r>
                  </w:p>
                </w:tc>
                <w:tc>
                  <w:tcPr>
                    <w:tcW w:w="6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 </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vertAlign w:val="subscript"/>
                      </w:rPr>
                      <w:t xml:space="preserve">38%</w:t>
                    </w:r>
                  </w:p>
                </w:tc>
                <w:tc>
                  <w:tcPr>
                    <w:tcW w:w="7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vertAlign w:val="subscript"/>
                      </w:rPr>
                      <w:t xml:space="preserve">44%</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rPr>
                        <w:vertAlign w:val="subscript"/>
                      </w:rPr>
                      <w:t xml:space="preserve">39%</w:t>
                    </w:r>
                  </w:p>
                </w:tc>
                <w:tc>
                  <w:tcPr>
                    <w:tcW w:w="62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rPr>
                        <w:vertAlign w:val="subscript"/>
                      </w:rPr>
                      <w:t xml:space="preserve">48%</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rPr>
                        <w:vertAlign w:val="subscript"/>
                      </w:rPr>
                      <w:t xml:space="preserve">38%</w:t>
                    </w:r>
                  </w:p>
                </w:tc>
                <w:tc>
                  <w:tcPr>
                    <w:tcW w:w="62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rPr>
                        <w:vertAlign w:val="subscript"/>
                      </w:rPr>
                      <w:t xml:space="preserve">52%</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rPr>
                        <w:vertAlign w:val="subscript"/>
                      </w:rPr>
                      <w:t xml:space="preserve"> </w:t>
                    </w:r>
                  </w:p>
                </w:tc>
              </w:tr>
              <w:tr>
                <w:trPr>
                  <w:tblCellSpacing w:w="0" w:type="dxa"/>
                </w:trPr>
                <w:tc>
                  <w:tcPr>
                    <w:tcW w:w="16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vertAlign w:val="subscript"/>
                      </w:rPr>
                      <w:t xml:space="preserve">Heltidskultur (80% eller mer)</w:t>
                    </w:r>
                  </w:p>
                </w:tc>
                <w:tc>
                  <w:tcPr>
                    <w:tcW w:w="68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 </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vertAlign w:val="subscript"/>
                      </w:rPr>
                      <w:t xml:space="preserve">60%</w:t>
                    </w:r>
                  </w:p>
                </w:tc>
                <w:tc>
                  <w:tcPr>
                    <w:tcW w:w="7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vertAlign w:val="subscript"/>
                      </w:rPr>
                      <w:t xml:space="preserve">65%</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rPr>
                        <w:vertAlign w:val="subscript"/>
                      </w:rPr>
                      <w:t xml:space="preserve">60%</w:t>
                    </w:r>
                  </w:p>
                </w:tc>
                <w:tc>
                  <w:tcPr>
                    <w:tcW w:w="62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rPr>
                        <w:vertAlign w:val="subscript"/>
                      </w:rPr>
                      <w:t xml:space="preserve">70%</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rPr>
                        <w:vertAlign w:val="subscript"/>
                      </w:rPr>
                      <w:t xml:space="preserve">60%</w:t>
                    </w:r>
                  </w:p>
                </w:tc>
                <w:tc>
                  <w:tcPr>
                    <w:tcW w:w="62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rPr>
                        <w:vertAlign w:val="subscript"/>
                      </w:rPr>
                      <w:t xml:space="preserve">75%</w:t>
                    </w:r>
                  </w:p>
                </w:tc>
                <w:tc>
                  <w:tcPr>
                    <w:tcW w:w="96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rPr>
                        <w:vertAlign w:val="subscript"/>
                      </w:rPr>
                      <w:t xml:space="preserve"> </w:t>
                    </w:r>
                  </w:p>
                </w:tc>
              </w:tr>
            </w:tbl>
            <w:p>
              <w:pPr>
                <w:spacing w:after="160"/>
              </w:pPr>
              <w:r>
                <w:t xml:space="preserve">Tallene er rundet opp etter avrundingsreglene.  Kilde: Ansatte som mottar lønn pr. 31.12</w:t>
              </w:r>
              <w:r>
                <w:br/>
              </w:r>
              <w:r>
                <w:t xml:space="preserve"> </w:t>
              </w:r>
            </w:p>
            <w:p>
              <w:pPr>
                <w:spacing w:after="160"/>
              </w:pPr>
              <w:r>
                <w:t xml:space="preserve">Samlet viser utviklingen i Helse og mestring at gjennomsnittlig stillingsstørrelse, heltidsandel og andelen som arbeider i 80 prosent stilling eller mer, har stabilisert seg på omtrent samme nivå de siste årene. Det var en økning fram til 2023, mens utviklingen i etterfølgende år i har flatet ut. Dette er i tråd med et nasjonalt bilde i kommunesektoren, der veksten i heltidsandel har gått saktere de siste årene, særlig i tjenester med høy andel turnusstillinger.</w:t>
              </w:r>
            </w:p>
            <w:p>
              <w:pPr>
                <w:spacing w:after="160"/>
              </w:pPr>
              <w:r>
                <w:t xml:space="preserve">Tallene viser at andelen ansatte i 80 prosent stilling eller mer er relativt høy, mens andelen ansatte i 100 prosent stilling er betydelig lavere. Dette samsvarer med funn fra kartlegging av deltid som ble gjennomført i 2024 som viste at flere respondenter oppga at de ikke ønsket 100 prosent stilling.</w:t>
              </w:r>
            </w:p>
            <w:p>
              <w:pPr>
                <w:spacing w:after="160"/>
              </w:pPr>
              <w:r>
                <w:t xml:space="preserve">Det er variasjoner mellom de tre områdene i Helse og mestring. Gjennomsnittlig stillingsstørrelse er relativt lik: 72,3 prosent i Rehabilitering, institusjoner og legetjenesten, 73,4 prosent i Habilitering, rus og psykisk helse og 75,2 prosent i Hjemmetjenester. Forskjellene er større når det gjelder heltidsandel (100 prosent stilling) og andelen som arbeider i 80 prosent stilling eller mer.</w:t>
              </w:r>
            </w:p>
            <w:p>
              <w:pPr>
                <w:spacing w:after="160"/>
              </w:pPr>
              <w:r>
                <w:t xml:space="preserve">Hjemmetjenester har høyest heltidsandel og høyest andel i 80 prosent stilling eller mer: 45% prosent arbeider i 100 prosent stilling og 63% prosent arbeider i 80 prosent stilling eller mer. Lavest ligger Rehabilitering, institusjoner og legetjenesten med 33% prosent i 100 prosent stilling og 57% prosent i 80 prosent stilling eller mer. Habilitering, rus og psykisk helse ligger omtrent på nivå med Rehabilitering, institusjoner og legetjenesten med 35% prosent i 100 prosent stilling og 56% prosent i 80 prosent stilling eller mer. Dette viser at det er tydelige interne forskjeller i heltidsandel og heltidskultur innenfor kommunalområdet.</w:t>
              </w:r>
            </w:p>
            <w:p>
              <w:pPr>
                <w:spacing w:after="160"/>
              </w:pPr>
              <w:r>
                <w:t xml:space="preserve">Skien kommune følger også på dette området nasjonale trender. Tall fra Helsedirektoratet viser at heltidsandelen i tjenester til hjemmeboende er høyere enn tilsvarende tall for institusjonsområdet i kommunesektoren (</w:t>
              </w:r>
              <w:hyperlink w:history="true" r:id="Rb1269bc42dc54c71">
                <w:r>
                  <w:rPr>
                    <w:rStyle w:val="Hyperlink"/>
                  </w:rPr>
                  <w:t xml:space="preserve">Heltidsansatte ved kommunale helse- og omsorgstjenester i institusjon – Helsedirektoratet</w:t>
                </w:r>
              </w:hyperlink>
              <w:r>
                <w:t xml:space="preserve">) (tallene er ikke direkte sammenlignbare da Helsedirektoratet også har inkludert tall fra aktører som selger tjenester på privatmarkedet, men gir likevel en indikasjon på relevante trender).</w:t>
              </w:r>
            </w:p>
            <w:p>
              <w:pPr>
                <w:spacing w:after="160"/>
              </w:pPr>
              <w:r>
                <w:t xml:space="preserve">Årsaken til forskjellene mellom Hjemmetjenester og de øvrige områdene er sammensatt. I 2024 ble grunnbemanningen i Hjemmetjenester styrket og hjemmetjenester var også først ute med å implementere årsturnus. Dette har bidratt til økt heltid i området, men kan ikke nødvendigvis forklare hele forskjellen. Kommunen vil derfor analysere disse sammenhengene nærmere.  </w:t>
              </w:r>
            </w:p>
            <w:p>
              <w:pPr>
                <w:spacing w:after="160"/>
              </w:pPr>
              <w:r>
                <w:t xml:space="preserve">Samtidig som heltidsandelen er relativt sett høyere i Hjemmetjenester enn i øvrige deler av Helse og mestring, viser fraværstallene for første kvartal 2026 en økning i fraværet sammenlignet med tilsvarende periode i 2025 – og hjemmetjenester har også det høyeste samlede fravær i første kvartal 2026 i kommunalområdet.</w:t>
              </w:r>
            </w:p>
            <w:p>
              <w:pPr>
                <w:spacing w:after="160"/>
              </w:pPr>
              <w:r>
                <w:t xml:space="preserve">En høy andel deltidsansatte er en vedvarende utfordring i kommunesektoren. Hovedårsakene til høy andel deltidsansatte handler først og fremst om arbeidstidsordningene i døgnkontinuerlige tjenester, særlig helgebemanningen. Denne hovedårsaken blir forsterket av høy arbeidsbelastning, rekrutteringsutfordringer og at ikke alle ansatte ønsker full stilling. Både nasjonale og lokale kartlegginger viser at det er ansatte som ønsker å jobbe deltid og ikke fulltid eller øke sin stillingsstørrelse (kartlegging deltid Skien kommune 2024 og SSB).</w:t>
              </w:r>
            </w:p>
            <w:p>
              <w:pPr>
                <w:spacing w:after="160"/>
              </w:pPr>
              <w:r>
                <w:t xml:space="preserve"> </w:t>
              </w:r>
            </w:p>
            <w:p>
              <w:pPr>
                <w:spacing w:after="160"/>
              </w:pPr>
              <w:r>
                <w:rPr>
                  <w:u w:val="single"/>
                </w:rPr>
                <w:t xml:space="preserve">Aktiviteter og tiltak</w:t>
              </w:r>
            </w:p>
            <w:p>
              <w:pPr>
                <w:spacing w:after="160"/>
              </w:pPr>
              <w:r>
                <w:t xml:space="preserve">Utvikling av heltidskultur er både ønskelig og viktig for kommunen og dette målrettet og konstruktivt arbeid både med organisering av tjenestene og arbeidstidsordninger i tett samarbeid med tillitsvalgte.  Helse og mestring har derfor iverksatt og planlegger iverksettelse av flere tiltak for å øke heltidsandelen.</w:t>
              </w:r>
            </w:p>
            <w:p>
              <w:pPr>
                <w:spacing w:after="160"/>
              </w:pPr>
              <w:r>
                <w:t xml:space="preserve">Årsturnus er innført i 53 enheter i kommunalområdet. Dette har medført at flere deltidsansatte har fått økt sin stillingsprosent. Til sammen utgjorde disse økningen ca. 35 årsverk for helse og mestring.</w:t>
              </w:r>
            </w:p>
            <w:p>
              <w:pPr>
                <w:spacing w:after="160"/>
              </w:pPr>
              <w:r>
                <w:t xml:space="preserve">For å ytterligere øke heltid i kommunalområdet, ble heltid drøftet i et medbestemmelsesmøte i Helse og mestring, hvor både HR og turnusrådgiverne deltok. For å sikre tydelig forankring og målrettet arbeid, ble det besluttet å etablere en arbeidsgruppe med representanter fra de tre områdene i kommunalområdet, turnusrådgivere og tillitsvalgte. Arbeidsgruppen ledes av HR og har følgende formål:</w:t>
              </w:r>
            </w:p>
            <w:p>
              <w:pPr>
                <w:pStyle w:val="ListParagraph"/>
                <w:numPr>
                  <w:ilvl w:val="0"/>
                  <w:numId w:val="1"/>
                </w:numPr>
                <w:spacing w:after="160"/>
              </w:pPr>
              <w:r>
                <w:t xml:space="preserve">sikre at Skien kommunes arbeid med heltidskultur er forankret i lov- og avtaleverk</w:t>
              </w:r>
            </w:p>
            <w:p>
              <w:pPr>
                <w:pStyle w:val="ListParagraph"/>
                <w:numPr>
                  <w:ilvl w:val="0"/>
                  <w:numId w:val="1"/>
                </w:numPr>
                <w:spacing w:after="160"/>
              </w:pPr>
              <w:r>
                <w:t xml:space="preserve">foreslå tydelige, praktiske og implementerbare tiltak</w:t>
              </w:r>
            </w:p>
            <w:p>
              <w:pPr>
                <w:pStyle w:val="ListParagraph"/>
                <w:numPr>
                  <w:ilvl w:val="0"/>
                  <w:numId w:val="1"/>
                </w:numPr>
                <w:spacing w:after="160"/>
              </w:pPr>
              <w:r>
                <w:t xml:space="preserve">etablere et helhetlig og oppdatert rammeverk som understøtter målene for heltidskultur</w:t>
              </w:r>
            </w:p>
            <w:p>
              <w:pPr>
                <w:pStyle w:val="ListParagraph"/>
                <w:numPr>
                  <w:ilvl w:val="0"/>
                  <w:numId w:val="1"/>
                </w:numPr>
                <w:spacing w:after="160"/>
              </w:pPr>
              <w:r>
                <w:t xml:space="preserve">sikre partssamarbeid og medbestemmelse i alle deler av arbeidet</w:t>
              </w:r>
            </w:p>
            <w:p>
              <w:pPr>
                <w:spacing w:after="160"/>
              </w:pPr>
              <w:r>
                <w:t xml:space="preserve"> </w:t>
              </w:r>
            </w:p>
            <w:p>
              <w:pPr>
                <w:spacing w:after="160"/>
              </w:pPr>
              <w:r>
                <w:t xml:space="preserve">Arbeidsgruppen skal revidere kommunens retningslinje for heltidskultur og sikre at den er i tråd med gjeldende lov- og avtaleverk. Videre skal arbeidsgruppen vurdere og foreslå tiltak som kan understøtte målene for heltidskultur i Helse og mestring, og eventuelt ha overføringsverdi til øvrige deler av kommunen.</w:t>
              </w:r>
            </w:p>
            <w:p>
              <w:pPr>
                <w:spacing w:after="160"/>
              </w:pPr>
              <w:r>
                <w:t xml:space="preserve">I 2026 planlegges det en ny kartlegging av deltid og eventuelle innslag av ufrivillig deltid. Formålet er å få oppdatert kunnskap om omfang, årsaker og mulige tiltak, samt å følge utviklingen over tid. Resultatene skal legges fram for arbeidsgruppen og inngå som grunnlag for videre prioriteringer i heltidskulturarbeidet. Det følger av Likestillings- og diskrimineringsloven (§26) at ufrivillig deltid skal kartlegges annet hvert år.</w:t>
              </w:r>
            </w:p>
            <w:p>
              <w:pPr>
                <w:spacing w:after="160"/>
              </w:pPr>
              <w:r>
                <w:t xml:space="preserve">Helsefremmende turnus er et tema som er på agendaen i kommunalområdet og dette vil også gå inn i arbeidsgruppens arbeid. Bruk av kunstig intelligens i arbeidet med turnus vil også være et område som skal utforskes i løpet av 2026/2027.</w:t>
              </w:r>
            </w:p>
            <w:p>
              <w:pPr>
                <w:spacing w:after="160"/>
              </w:pPr>
              <w:r>
                <w:t xml:space="preserve">Øvrige kommunalområder hvor dette er relevant vil involveres i dette arbeidet etter behov.</w:t>
              </w:r>
            </w:p>
            <w:p>
              <w:pPr>
                <w:spacing w:after="160"/>
              </w:pPr>
              <w:r>
                <w:br/>
              </w:r>
              <w:r>
                <w:rPr>
                  <w:b/>
                </w:rPr>
                <w:t xml:space="preserve">Effekten av saken </w:t>
              </w:r>
              <w:r>
                <w:br/>
              </w:r>
              <w:r>
                <w:t xml:space="preserve">Saken er kun en statusrapport og har ingen direkte konsekvens for hverken klima, miljø, økonomi eller folkehelse</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br/>
              </w:r>
              <w:r>
                <w:rPr>
                  <w:b/>
                </w:rPr>
                <w:t xml:space="preserve">Kommunedirektørens vurdering og konklusjon</w:t>
              </w:r>
              <w:r>
                <w:br/>
              </w:r>
              <w:r>
                <w:t xml:space="preserve">Kommunedirektøren anbefaler at partssammensatt utvalg tar statusrapporten til orientering.</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hyperlink" Target="https://www.helsedirektoratet.no/statistikk/kvalitetsindikatorer/kommunale-helse-og-omsorgstjenester/heltidsansatte-ved-kommunale-helse-og-omsorgstjenester-i-institusjon?utm_source=chatgpt.com" TargetMode="External" Id="Rb1269bc42dc54c71" /><Relationship Type="http://schemas.openxmlformats.org/officeDocument/2006/relationships/numbering" Target="/word/numbering.xml" Id="Rcd8e9fb8891f42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Rapportering heltidskultur - PSU 26.05.26</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