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26/12093</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Anne Lene Andersen Watn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13.05.2026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Partssammensatt utvalg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Rapportering sykefravær 1. kvartal - PSU 26.05.26</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Partssammensatt utvalg tar rapportering om sykefravær 1. kvartal 2026 til orientering.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Sammendrag </w:t>
              </w:r>
              <w:r>
                <w:br/>
              </w:r>
              <w:r>
                <w:t xml:space="preserve">Skien kommune hadde et samlet sykefravær på 11,74 % i 1. kvartal 2026. Dette er en økning sammenlignet med 1. kvartal 2025 hvor fraværet var på 10.99%. Økningen skyldes i hovedsak økning i korttidsfraværet. Langtidsfraværet utgjør fortsatt den største andelen av det totale fraværet. Sammenliknet med 1. kvartal 2025 har Nav redusert sykefraværet i perioden i 2026 sammenlignet med 2025 (fra 10,8 % til 8,6 %), mens øvrige kommunalområder har hatt en økning. Fraværet er klart høyest i Helse og mestring, mens økningen fra 1. kvartal 2025 er størst i Oppvekst.</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rPr>
                  <w:b/>
                </w:rPr>
                <w:t xml:space="preserve">Overordnede kommentarer – Skien kommune</w:t>
              </w:r>
            </w:p>
            <w:p>
              <w:pPr>
                <w:spacing w:after="160"/>
              </w:pPr>
              <w:r>
                <w:t xml:space="preserve">Sykefraværet i 1. kvartal 2026 har økt sammenlignet med samme periode i 2025 (fra 10.99% til 11,74%).  Det er fremdeles langtidsfraværet som utgjør den største delen av fraværet. Langtidsfraværet er på omtrent samme nivå som 2025, mens korttidsfraværet har vært vesentlig høyere årets første tre måneder sammenlignet med fjoråret. Det er med andre ord korttidsfraværet som gjør at fraværet samlet sett er høyere i 1. kvartal 2026 sammenlignet 2025.</w:t>
              </w:r>
            </w:p>
            <w:p>
              <w:pPr>
                <w:spacing w:after="160"/>
              </w:pPr>
              <w:r>
                <w:t xml:space="preserve">Alle kommunalområder med unntak av Nav har hatt en økning i fraværet i 1. kvartal 2026 sammenlignet med samme periode i 2025 og det er oppvekst som har hatt størst økning.</w:t>
              </w:r>
            </w:p>
            <w:p>
              <w:pPr>
                <w:spacing w:after="160"/>
              </w:pPr>
              <w:r>
                <w:t xml:space="preserve">Fraværet er klart størst i Helse og mestring selv om fraværet også i Oppvekst er høyt i 1. kvartal 2026. Fraværet er høyere første tertial 2026 i begge kommunalområder sammenlignet med 2025. I Helse og mestring er korttidsfraværet markant høyere i 2026 sammenlignet med samme periode i 2025, mens langtidsfraværet er noe lavere årets tre første måneder. I Oppvekst er både langtidsfraværet og korttidsfraværet høyere i 2026 sammenlignet med 2025.</w:t>
              </w:r>
            </w:p>
            <w:p>
              <w:pPr>
                <w:spacing w:after="160"/>
              </w:pPr>
              <w:r>
                <w:t xml:space="preserve">Skien kommune har som mål å ikke ha et høyere sykefravær enn 7% i 2026 – med andre ord har kommunen en målsetning om en nærværsprosent på 93% i 2026.</w:t>
              </w:r>
            </w:p>
            <w:p>
              <w:pPr>
                <w:spacing w:after="160"/>
              </w:pPr>
              <w:r>
                <w:t xml:space="preserve">Nasjonalt ligger offentlig sektor gjennomgående høyere i sykefravær enn privat sektor, og kommunesektoren trekkes særlig opp av store tjenesteområder som helse og omsorg og oppvekst. Disse områdene kjennetegnes ofte av høye emosjonelle krav, turnus/ubekvem arbeidstid og i enkelte tjenester økt risiko for vold og trusler, noe som kan bidra til både høyere fravær og lengre varighet i fraværssaker. I tillegg utgjør langtidsfraværet normalt den største andelen av det totale fraværet, selv om variasjoner i korttidsfraværet kan forklare endringer mellom enkeltkvartaler og der særlig sesong og smitte kan gi utslag i korttidsfraværet i 1. kvartal.</w:t>
              </w:r>
            </w:p>
            <w:p>
              <w:pPr>
                <w:spacing w:after="160"/>
              </w:pPr>
              <w:r>
                <w:t xml:space="preserve">Kommunen viderefører arbeidet innenfor den felles rammen for sykefraværsarbeidet med hovedvekt på systematisk rapportering og analyse, tidlig og tett oppfølging av den enkelte medarbeider, en styrking av lokalt partssamarbeid (leder–tillitsvalgt–verneombud) samt forebyggende arbeidsmiljøtiltak i enhetene. Arbeidet skjer i samarbeid med BHT og Nav Arbeidslivssenter. Skien kommune får ny BHT fra 1. august og ny BHT vil kobles på dette arbeidet.</w:t>
              </w:r>
            </w:p>
            <w:p>
              <w:pPr>
                <w:spacing w:after="160"/>
              </w:pPr>
              <w:r>
                <w:t xml:space="preserve"> </w:t>
              </w:r>
            </w:p>
            <w:p>
              <w:pPr>
                <w:spacing w:after="160"/>
              </w:pPr>
              <w:r>
                <w:rPr>
                  <w:u w:val="single"/>
                </w:rPr>
                <w:t xml:space="preserve">Årlig sykefravær samt sykefravær 1. kvartal Skien kommune samlet:</w:t>
              </w:r>
            </w:p>
            <w:p>
              <w:pPr>
                <w:spacing w:after="160"/>
              </w:pPr>
              <w:r>
                <w:drawing>
                  <wp:inline distT="0" distB="0" distL="0" distR="0">
                    <wp:extent cx="4695825" cy="1952624"/>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20ff9779bb56494f"/>
                            <a:srcRect/>
                            <a:stretch>
                              <a:fillRect/>
                            </a:stretch>
                          </pic:blipFill>
                          <pic:spPr bwMode="auto">
                            <a:xfrm>
                              <a:off x="0" y="0"/>
                              <a:ext cx="4695825" cy="1952624"/>
                            </a:xfrm>
                            <a:prstGeom prst="rect">
                              <a:avLst/>
                            </a:prstGeom>
                          </pic:spPr>
                        </pic:pic>
                      </a:graphicData>
                    </a:graphic>
                  </wp:inline>
                </w:drawing>
              </w:r>
            </w:p>
            <w:p>
              <w:pPr>
                <w:spacing w:after="160"/>
              </w:pPr>
              <w:r>
                <w:t xml:space="preserve"> </w:t>
              </w:r>
            </w:p>
            <w:p>
              <w:pPr>
                <w:spacing w:after="160"/>
              </w:pPr>
              <w:r>
                <w:drawing>
                  <wp:inline distT="0" distB="0" distL="0" distR="0">
                    <wp:extent cx="4714875" cy="2009774"/>
                    <wp:effectExtent l="19050" t="0" r="0" b="0"/>
                    <wp:docPr id="3"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67e36882d34f45ca"/>
                            <a:srcRect/>
                            <a:stretch>
                              <a:fillRect/>
                            </a:stretch>
                          </pic:blipFill>
                          <pic:spPr bwMode="auto">
                            <a:xfrm>
                              <a:off x="0" y="0"/>
                              <a:ext cx="4714875" cy="2009774"/>
                            </a:xfrm>
                            <a:prstGeom prst="rect">
                              <a:avLst/>
                            </a:prstGeom>
                          </pic:spPr>
                        </pic:pic>
                      </a:graphicData>
                    </a:graphic>
                  </wp:inline>
                </w:drawing>
              </w:r>
            </w:p>
            <w:p>
              <w:pPr>
                <w:spacing w:after="160"/>
              </w:pPr>
              <w:r>
                <w:t xml:space="preserve"> </w:t>
              </w:r>
            </w:p>
            <w:p>
              <w:pPr>
                <w:spacing w:after="160"/>
              </w:pPr>
              <w:r>
                <w:rPr>
                  <w:u w:val="single"/>
                </w:rPr>
                <w:t xml:space="preserve">Korttids- og langtidsfravær pr. måned 1. kvartal Skien kommune samlet:</w:t>
              </w:r>
            </w:p>
            <w:p>
              <w:pPr>
                <w:spacing w:after="160"/>
              </w:pPr>
              <w:r>
                <w:t xml:space="preserve"> </w:t>
              </w:r>
            </w:p>
            <w:tbl>
              <w:tblPr>
                <w:tblStyle w:val="TableGrid"/>
                <w:tblW w:w="0" w:type="auto"/>
                <w:tblLook w:firstRow="false" w:lastRow="false" w:firstColumn="false" w:lastColumn="false"/>
              </w:tblPr>
              <w:tblGrid>
                <w:gridCol/>
                <w:gridCol/>
                <w:gridCol/>
                <w:gridCol/>
                <w:gridCol/>
              </w:tblGrid>
              <w:tr>
                <w:trPr>
                  <w:trHeight w:val="225" w:hRule="atLeast"/>
                </w:trPr>
                <w:tc>
                  <w:tcPr>
                    <w:tcW w:w="940" w:type="auto"/>
                    <w:tcMar>
                      <w:top w:w="105" w:type="dxa"/>
                      <w:left w:w="105" w:type="dxa"/>
                      <w:bottom w:w="105" w:type="dxa"/>
                      <w:right w:w="105" w:type="dxa"/>
                    </w:tcMar>
                    <w:vAlign w:val="top"/>
                  </w:tcPr>
                  <w:p>
                    <w:pPr>
                      <w:spacing w:after="160"/>
                    </w:pPr>
                    <w:r>
                      <w:t xml:space="preserve">Type</w:t>
                    </w:r>
                  </w:p>
                </w:tc>
                <w:tc>
                  <w:tcPr>
                    <w:tcW w:w="3800" w:type="auto"/>
                    <w:tcMar>
                      <w:top w:w="105" w:type="dxa"/>
                      <w:left w:w="105" w:type="dxa"/>
                      <w:bottom w:w="105" w:type="dxa"/>
                      <w:right w:w="105" w:type="dxa"/>
                    </w:tcMar>
                    <w:vAlign w:val="top"/>
                  </w:tcPr>
                  <w:p>
                    <w:pPr>
                      <w:spacing w:after="160"/>
                    </w:pPr>
                    <w:r>
                      <w:t xml:space="preserve">Sum </w:t>
                    </w:r>
                  </w:p>
                </w:tc>
                <w:tc>
                  <w:tcPr>
                    <w:tcW w:w="940" w:type="auto"/>
                    <w:tcMar>
                      <w:top w:w="105" w:type="dxa"/>
                      <w:left w:w="105" w:type="dxa"/>
                      <w:bottom w:w="105" w:type="dxa"/>
                      <w:right w:w="105" w:type="dxa"/>
                    </w:tcMar>
                    <w:vAlign w:val="top"/>
                  </w:tcPr>
                  <w:p>
                    <w:pPr>
                      <w:spacing w:after="160"/>
                    </w:pPr>
                    <w:r>
                      <w:t xml:space="preserve">Jan</w:t>
                    </w:r>
                  </w:p>
                </w:tc>
                <w:tc>
                  <w:tcPr>
                    <w:tcW w:w="940" w:type="auto"/>
                    <w:tcMar>
                      <w:top w:w="105" w:type="dxa"/>
                      <w:left w:w="105" w:type="dxa"/>
                      <w:bottom w:w="105" w:type="dxa"/>
                      <w:right w:w="105" w:type="dxa"/>
                    </w:tcMar>
                    <w:vAlign w:val="top"/>
                  </w:tcPr>
                  <w:p>
                    <w:pPr>
                      <w:spacing w:after="160"/>
                    </w:pPr>
                    <w:r>
                      <w:t xml:space="preserve">Feb</w:t>
                    </w:r>
                  </w:p>
                </w:tc>
                <w:tc>
                  <w:tcPr>
                    <w:tcW w:w="940" w:type="auto"/>
                    <w:tcMar>
                      <w:top w:w="105" w:type="dxa"/>
                      <w:left w:w="105" w:type="dxa"/>
                      <w:bottom w:w="105" w:type="dxa"/>
                      <w:right w:w="105" w:type="dxa"/>
                    </w:tcMar>
                    <w:vAlign w:val="top"/>
                  </w:tcPr>
                  <w:p>
                    <w:pPr>
                      <w:spacing w:after="160"/>
                    </w:pPr>
                    <w:r>
                      <w:t xml:space="preserve">Mars </w:t>
                    </w:r>
                  </w:p>
                </w:tc>
              </w:tr>
              <w:tr>
                <w:trPr>
                  <w:trHeight w:val="225" w:hRule="atLeast"/>
                </w:trPr>
                <w:tc>
                  <w:tcPr>
                    <w:tcW w:w="940" w:type="auto"/>
                    <w:tcMar>
                      <w:top w:w="105" w:type="dxa"/>
                      <w:left w:w="105" w:type="dxa"/>
                      <w:bottom w:w="105" w:type="dxa"/>
                      <w:right w:w="105" w:type="dxa"/>
                    </w:tcMar>
                    <w:vAlign w:val="top"/>
                  </w:tcPr>
                  <w:p>
                    <w:pPr>
                      <w:spacing w:after="160"/>
                    </w:pPr>
                    <w:r>
                      <w:t xml:space="preserve">Korttid</w:t>
                    </w:r>
                  </w:p>
                </w:tc>
                <w:tc>
                  <w:tcPr>
                    <w:tcW w:w="3800" w:type="auto"/>
                    <w:tcMar>
                      <w:top w:w="105" w:type="dxa"/>
                      <w:left w:w="105" w:type="dxa"/>
                      <w:bottom w:w="105" w:type="dxa"/>
                      <w:right w:w="105" w:type="dxa"/>
                    </w:tcMar>
                    <w:vAlign w:val="top"/>
                  </w:tcPr>
                  <w:p>
                    <w:pPr>
                      <w:spacing w:after="160"/>
                    </w:pPr>
                    <w:r>
                      <w:t xml:space="preserve">Sum sykefravær</w:t>
                    </w:r>
                  </w:p>
                </w:tc>
                <w:tc>
                  <w:tcPr>
                    <w:tcW w:w="940" w:type="auto"/>
                    <w:tcMar>
                      <w:top w:w="105" w:type="dxa"/>
                      <w:left w:w="105" w:type="dxa"/>
                      <w:bottom w:w="105" w:type="dxa"/>
                      <w:right w:w="105" w:type="dxa"/>
                    </w:tcMar>
                    <w:vAlign w:val="top"/>
                  </w:tcPr>
                  <w:p>
                    <w:pPr>
                      <w:spacing w:after="160"/>
                    </w:pPr>
                    <w:r>
                      <w:t xml:space="preserve">4,17 %</w:t>
                    </w:r>
                  </w:p>
                </w:tc>
                <w:tc>
                  <w:tcPr>
                    <w:tcW w:w="940" w:type="auto"/>
                    <w:tcMar>
                      <w:top w:w="105" w:type="dxa"/>
                      <w:left w:w="105" w:type="dxa"/>
                      <w:bottom w:w="105" w:type="dxa"/>
                      <w:right w:w="105" w:type="dxa"/>
                    </w:tcMar>
                    <w:vAlign w:val="top"/>
                  </w:tcPr>
                  <w:p>
                    <w:pPr>
                      <w:spacing w:after="160"/>
                    </w:pPr>
                    <w:r>
                      <w:t xml:space="preserve">4,04 %</w:t>
                    </w:r>
                  </w:p>
                </w:tc>
                <w:tc>
                  <w:tcPr>
                    <w:tcW w:w="940" w:type="auto"/>
                    <w:tcMar>
                      <w:top w:w="105" w:type="dxa"/>
                      <w:left w:w="105" w:type="dxa"/>
                      <w:bottom w:w="105" w:type="dxa"/>
                      <w:right w:w="105" w:type="dxa"/>
                    </w:tcMar>
                    <w:vAlign w:val="top"/>
                  </w:tcPr>
                  <w:p>
                    <w:pPr>
                      <w:spacing w:after="160"/>
                    </w:pPr>
                    <w:r>
                      <w:t xml:space="preserve">3,93 %</w:t>
                    </w:r>
                  </w:p>
                </w:tc>
              </w:tr>
              <w:tr>
                <w:trPr>
                  <w:trHeight w:val="225" w:hRule="atLeast"/>
                </w:trPr>
                <w:tc>
                  <w:tcPr>
                    <w:tcW w:w="940" w:type="auto"/>
                    <w:shd w:val="clear" w:color="auto" w:fill="F9F9F9"/>
                    <w:tcMar>
                      <w:top w:w="105" w:type="dxa"/>
                      <w:left w:w="105" w:type="dxa"/>
                      <w:bottom w:w="105" w:type="dxa"/>
                      <w:right w:w="105" w:type="dxa"/>
                    </w:tcMar>
                    <w:vAlign w:val="top"/>
                  </w:tcPr>
                  <w:p>
                    <w:pPr>
                      <w:spacing w:after="160"/>
                    </w:pPr>
                    <w:r>
                      <w:rPr>
                        <w:shd w:val="clear" w:fill="F9F9F9"/>
                      </w:rPr>
                      <w:t xml:space="preserve">Langtid</w:t>
                    </w:r>
                  </w:p>
                </w:tc>
                <w:tc>
                  <w:tcPr>
                    <w:tcW w:w="3800" w:type="auto"/>
                    <w:shd w:val="clear" w:color="auto" w:fill="F9F9F9"/>
                    <w:tcMar>
                      <w:top w:w="105" w:type="dxa"/>
                      <w:left w:w="105" w:type="dxa"/>
                      <w:bottom w:w="105" w:type="dxa"/>
                      <w:right w:w="105" w:type="dxa"/>
                    </w:tcMar>
                    <w:vAlign w:val="top"/>
                  </w:tcPr>
                  <w:p>
                    <w:pPr>
                      <w:spacing w:after="160"/>
                    </w:pPr>
                    <w:r>
                      <w:rPr>
                        <w:shd w:val="clear" w:fill="F9F9F9"/>
                      </w:rPr>
                      <w:t xml:space="preserve">Sum sykefravær</w:t>
                    </w:r>
                  </w:p>
                </w:tc>
                <w:tc>
                  <w:tcPr>
                    <w:tcW w:w="940" w:type="auto"/>
                    <w:shd w:val="clear" w:color="auto" w:fill="F9F9F9"/>
                    <w:tcMar>
                      <w:top w:w="105" w:type="dxa"/>
                      <w:left w:w="105" w:type="dxa"/>
                      <w:bottom w:w="105" w:type="dxa"/>
                      <w:right w:w="105" w:type="dxa"/>
                    </w:tcMar>
                    <w:vAlign w:val="top"/>
                  </w:tcPr>
                  <w:p>
                    <w:pPr>
                      <w:spacing w:after="160"/>
                    </w:pPr>
                    <w:r>
                      <w:rPr>
                        <w:shd w:val="clear" w:fill="F9F9F9"/>
                      </w:rPr>
                      <w:t xml:space="preserve">7,38 %</w:t>
                    </w:r>
                  </w:p>
                </w:tc>
                <w:tc>
                  <w:tcPr>
                    <w:tcW w:w="940" w:type="auto"/>
                    <w:shd w:val="clear" w:color="auto" w:fill="F9F9F9"/>
                    <w:tcMar>
                      <w:top w:w="105" w:type="dxa"/>
                      <w:left w:w="105" w:type="dxa"/>
                      <w:bottom w:w="105" w:type="dxa"/>
                      <w:right w:w="105" w:type="dxa"/>
                    </w:tcMar>
                    <w:vAlign w:val="top"/>
                  </w:tcPr>
                  <w:p>
                    <w:pPr>
                      <w:spacing w:after="160"/>
                    </w:pPr>
                    <w:r>
                      <w:rPr>
                        <w:shd w:val="clear" w:fill="F9F9F9"/>
                      </w:rPr>
                      <w:t xml:space="preserve">7,69 %</w:t>
                    </w:r>
                  </w:p>
                </w:tc>
                <w:tc>
                  <w:tcPr>
                    <w:tcW w:w="940" w:type="auto"/>
                    <w:shd w:val="clear" w:color="auto" w:fill="F9F9F9"/>
                    <w:tcMar>
                      <w:top w:w="105" w:type="dxa"/>
                      <w:left w:w="105" w:type="dxa"/>
                      <w:bottom w:w="105" w:type="dxa"/>
                      <w:right w:w="105" w:type="dxa"/>
                    </w:tcMar>
                    <w:vAlign w:val="top"/>
                  </w:tcPr>
                  <w:p>
                    <w:pPr>
                      <w:spacing w:after="160"/>
                    </w:pPr>
                    <w:r>
                      <w:rPr>
                        <w:shd w:val="clear" w:fill="F9F9F9"/>
                      </w:rPr>
                      <w:t xml:space="preserve">8,00 %</w:t>
                    </w:r>
                  </w:p>
                </w:tc>
              </w:tr>
              <w:tr>
                <w:trPr>
                  <w:trHeight w:val="225" w:hRule="atLeast"/>
                </w:trPr>
                <w:tc>
                  <w:tcPr>
                    <w:tcW w:w="940" w:type="auto"/>
                    <w:tcMar>
                      <w:top w:w="105" w:type="dxa"/>
                      <w:left w:w="105" w:type="dxa"/>
                      <w:bottom w:w="105" w:type="dxa"/>
                      <w:right w:w="105" w:type="dxa"/>
                    </w:tcMar>
                    <w:vAlign w:val="top"/>
                  </w:tcPr>
                  <w:p>
                    <w:pPr>
                      <w:spacing w:after="160"/>
                    </w:pPr>
                    <w:r>
                      <w:t xml:space="preserve">Samlet</w:t>
                    </w:r>
                  </w:p>
                </w:tc>
                <w:tc>
                  <w:tcPr>
                    <w:tcW w:w="3800" w:type="auto"/>
                    <w:tcMar>
                      <w:top w:w="105" w:type="dxa"/>
                      <w:left w:w="105" w:type="dxa"/>
                      <w:bottom w:w="105" w:type="dxa"/>
                      <w:right w:w="105" w:type="dxa"/>
                    </w:tcMar>
                    <w:vAlign w:val="top"/>
                  </w:tcPr>
                  <w:p>
                    <w:pPr>
                      <w:spacing w:after="160"/>
                    </w:pPr>
                    <w:r>
                      <w:t xml:space="preserve">Sum sykefravær</w:t>
                    </w:r>
                  </w:p>
                </w:tc>
                <w:tc>
                  <w:tcPr>
                    <w:tcW w:w="940" w:type="auto"/>
                    <w:tcMar>
                      <w:top w:w="105" w:type="dxa"/>
                      <w:left w:w="105" w:type="dxa"/>
                      <w:bottom w:w="105" w:type="dxa"/>
                      <w:right w:w="105" w:type="dxa"/>
                    </w:tcMar>
                    <w:vAlign w:val="top"/>
                  </w:tcPr>
                  <w:p>
                    <w:pPr>
                      <w:spacing w:after="160"/>
                    </w:pPr>
                    <w:r>
                      <w:t xml:space="preserve">11,56 %</w:t>
                    </w:r>
                  </w:p>
                </w:tc>
                <w:tc>
                  <w:tcPr>
                    <w:tcW w:w="940" w:type="auto"/>
                    <w:tcMar>
                      <w:top w:w="105" w:type="dxa"/>
                      <w:left w:w="105" w:type="dxa"/>
                      <w:bottom w:w="105" w:type="dxa"/>
                      <w:right w:w="105" w:type="dxa"/>
                    </w:tcMar>
                    <w:vAlign w:val="top"/>
                  </w:tcPr>
                  <w:p>
                    <w:pPr>
                      <w:spacing w:after="160"/>
                    </w:pPr>
                    <w:r>
                      <w:t xml:space="preserve">11,73 %</w:t>
                    </w:r>
                  </w:p>
                </w:tc>
                <w:tc>
                  <w:tcPr>
                    <w:tcW w:w="940" w:type="auto"/>
                    <w:tcMar>
                      <w:top w:w="105" w:type="dxa"/>
                      <w:left w:w="105" w:type="dxa"/>
                      <w:bottom w:w="105" w:type="dxa"/>
                      <w:right w:w="105" w:type="dxa"/>
                    </w:tcMar>
                    <w:vAlign w:val="top"/>
                  </w:tcPr>
                  <w:p>
                    <w:pPr>
                      <w:spacing w:after="160"/>
                    </w:pPr>
                    <w:r>
                      <w:t xml:space="preserve">11,93 %</w:t>
                    </w:r>
                  </w:p>
                </w:tc>
              </w:tr>
            </w:tbl>
            <w:p>
              <w:pPr>
                <w:spacing w:after="160"/>
              </w:pPr>
              <w:r>
                <w:t xml:space="preserve"> </w:t>
              </w:r>
            </w:p>
            <w:p>
              <w:pPr>
                <w:spacing w:after="160"/>
              </w:pPr>
              <w:r>
                <w:rPr>
                  <w:b/>
                </w:rPr>
                <w:t xml:space="preserve">Kommunalområdene – utvikling og oppfølging</w:t>
              </w:r>
            </w:p>
            <w:p>
              <w:pPr>
                <w:spacing w:after="160"/>
              </w:pPr>
              <w:r>
                <w:rPr>
                  <w:u w:val="single"/>
                </w:rPr>
                <w:t xml:space="preserve">Oppvekst</w:t>
              </w:r>
            </w:p>
            <w:p>
              <w:pPr>
                <w:spacing w:after="160"/>
              </w:pPr>
              <w:r>
                <w:t xml:space="preserve">Oppvekst har et akkumulert sykefravær 1. kvartal 2026 på 10,9. Det er høyere enn 1. kvartal 2025 da det lå på 9,8%. Dette bekymrer oss. Vi ser at korttidsfraværet også er økende i januar, februar og mars. Noe av dette skyldes sannsynligvis sesonginfluensaen, men forklarer ikke hele bildet. Oppvekst har fortsatt et mål om å komme ned til 7% fravær.</w:t>
              </w:r>
            </w:p>
            <w:p>
              <w:pPr>
                <w:spacing w:after="160"/>
              </w:pPr>
              <w:r>
                <w:t xml:space="preserve">Den store jobben med å jobbe med sykefraværet foregår ute i den enkelte enhet. Oppvekst og HR legger til rette for at enhetene skal ha fokus på og verktøy for å jobbe med sykefraværet. Vi bruker LTV-samarbeidet (leder-tillitsvalgt-verneombud) som arena for arbeidet. Nav arbeidslivssenter er en viktig samarbeidspartner for oss. De er nå involvert i både skoler og barnehager. Sykefravær er tema på rektormøter, styrermøter og ledermøter i oppvekst. Vi skal også ha en inspektørsamling der Nav arbeidslivssenter er invitert med for å snakke om hvordan nærledere møter melding om sykdom, og hvordan de kan jobbe forebyggende for å redusere fraværslengden.</w:t>
              </w:r>
            </w:p>
            <w:p>
              <w:pPr>
                <w:spacing w:after="160"/>
              </w:pPr>
              <w:r>
                <w:drawing>
                  <wp:inline distT="0" distB="0" distL="0" distR="0">
                    <wp:extent cx="5133975" cy="1952624"/>
                    <wp:effectExtent l="19050" t="0" r="0" b="0"/>
                    <wp:docPr id="4"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cc3ace478e1f4f84"/>
                            <a:srcRect/>
                            <a:stretch>
                              <a:fillRect/>
                            </a:stretch>
                          </pic:blipFill>
                          <pic:spPr bwMode="auto">
                            <a:xfrm>
                              <a:off x="0" y="0"/>
                              <a:ext cx="5133975" cy="1952624"/>
                            </a:xfrm>
                            <a:prstGeom prst="rect">
                              <a:avLst/>
                            </a:prstGeom>
                          </pic:spPr>
                        </pic:pic>
                      </a:graphicData>
                    </a:graphic>
                  </wp:inline>
                </w:drawing>
              </w:r>
            </w:p>
            <w:p>
              <w:pPr>
                <w:spacing w:after="160"/>
              </w:pPr>
              <w:r>
                <w:t xml:space="preserve"> </w:t>
              </w:r>
            </w:p>
            <w:p>
              <w:pPr>
                <w:spacing w:after="160"/>
              </w:pPr>
              <w:r>
                <w:rPr>
                  <w:u w:val="single"/>
                </w:rPr>
                <w:t xml:space="preserve">Helse og mestring</w:t>
              </w:r>
            </w:p>
            <w:p>
              <w:pPr>
                <w:spacing w:after="160"/>
              </w:pPr>
              <w:r>
                <w:t xml:space="preserve">Helse og mestring har et høyere fravær i 1. kvartal 2026 sammenlignet med samme periode i 2025 (fra 13,2% til 13,6%). Det er en markant økning i korttidsfraværet i årets tre første måneder sammenlignet med samme periode i 2026. Langtidsfraværet er noe lavere i 1. kvartal 2026 sammenlignet med 2025.</w:t>
              </w:r>
            </w:p>
            <w:p>
              <w:pPr>
                <w:spacing w:after="160"/>
              </w:pPr>
              <w:r>
                <w:t xml:space="preserve">Det har vært en økning i fraværet i alle områder i Helse og mestring, med unntak av Rehabilitering, institusjoner og legetjenesten som samlet har et noe lavere fravær 1. kvartal 2025 sammenlignet med fjoråret. Økningen i fraværet er størst i hjemmetjenesten.</w:t>
              </w:r>
            </w:p>
            <w:p>
              <w:pPr>
                <w:spacing w:after="160"/>
              </w:pPr>
              <w:r>
                <w:t xml:space="preserve">Arbeidet med sykefravær har fremdeles høy prioritet i kommunalområdet og det jobbes med ulike tiltak. Det forebyggende perspektivet er i fokus med nær og tilgjengelig ledelse og systematisk arbeid med arbeidsmiljø. Våren 2026 har kommunen satt særskilt trykk på LTV-samarbeidet (leder-tillitsvalgt-verneombud) og det er planlagt oppstart prosesser i flere enheter i tett samarbeid med Nav arbeidslivssenter og HR. Dette arbeidet vil bygge videre på arbeidet som er gjort i «En bra dag på jobb».</w:t>
              </w:r>
            </w:p>
            <w:p>
              <w:pPr>
                <w:spacing w:after="160"/>
              </w:pPr>
              <w:r>
                <w:t xml:space="preserve">Tett og tidlig oppfølging er viktig og gradert sykemelding, trinnvis opptrapping og individuell tilrettelegging vurderes der det er mulig. HR, Nav og BHT involveres i saker med langvarig eller komplekst fravær. Flere enheter har utviklet verktøy som tilretteleggingsbanker for å systematisere mulige tiltak.</w:t>
              </w:r>
            </w:p>
            <w:p>
              <w:pPr>
                <w:spacing w:after="160"/>
              </w:pPr>
              <w:r>
                <w:t xml:space="preserve">Tiltakene representerer et felles rammeverk og en ønsket praksis for sykefraværsarbeidet i Helse og mestring. Samtidig er det variasjoner i hvordan tiltakene er tatt i bruk og virker i praksis. Samlet vurderes likevel utviklingen å gå i retning av bedre struktur og tettere oppfølging.</w:t>
              </w:r>
            </w:p>
            <w:p>
              <w:pPr>
                <w:spacing w:after="160"/>
              </w:pPr>
              <w:r>
                <w:drawing>
                  <wp:inline distT="0" distB="0" distL="0" distR="0">
                    <wp:extent cx="5372100" cy="2019300"/>
                    <wp:effectExtent l="19050" t="0" r="0" b="0"/>
                    <wp:docPr id="5" name="Picture 5" descr=""/>
                    <wp:cNvGraphicFramePr>
                      <a:graphicFrameLocks noChangeAspect="1"/>
                    </wp:cNvGraphicFramePr>
                    <a:graphic>
                      <a:graphicData uri="http://schemas.openxmlformats.org/drawingml/2006/picture">
                        <pic:pic>
                          <pic:nvPicPr>
                            <pic:cNvPr id="5" name="" descr=""/>
                            <pic:cNvPicPr>
                              <a:picLocks noChangeAspect="1" noChangeArrowheads="1"/>
                            </pic:cNvPicPr>
                          </pic:nvPicPr>
                          <pic:blipFill>
                            <a:blip r:embed="R5937a4ffb686413e"/>
                            <a:srcRect/>
                            <a:stretch>
                              <a:fillRect/>
                            </a:stretch>
                          </pic:blipFill>
                          <pic:spPr bwMode="auto">
                            <a:xfrm>
                              <a:off x="0" y="0"/>
                              <a:ext cx="5372100" cy="2019300"/>
                            </a:xfrm>
                            <a:prstGeom prst="rect">
                              <a:avLst/>
                            </a:prstGeom>
                          </pic:spPr>
                        </pic:pic>
                      </a:graphicData>
                    </a:graphic>
                  </wp:inline>
                </w:drawing>
              </w:r>
            </w:p>
            <w:p>
              <w:pPr>
                <w:spacing w:after="160"/>
              </w:pPr>
              <w:r>
                <w:t xml:space="preserve"> </w:t>
              </w:r>
            </w:p>
            <w:p>
              <w:pPr>
                <w:spacing w:after="160"/>
              </w:pPr>
              <w:r>
                <w:rPr>
                  <w:u w:val="single"/>
                </w:rPr>
                <w:t xml:space="preserve">Byutvikling, drift og kultur</w:t>
              </w:r>
            </w:p>
            <w:p>
              <w:pPr>
                <w:spacing w:after="160"/>
              </w:pPr>
              <w:r>
                <w:t xml:space="preserve">Samlet sykefravær for kommunalområdet i 1. kvartal har økt noe sammenlignet med 1. kvartal i fjor, til 9,59%. Det er noe reduksjon i langtidsfraværet, men økning i korttidsfraværet.</w:t>
              </w:r>
            </w:p>
            <w:p>
              <w:pPr>
                <w:spacing w:after="160"/>
              </w:pPr>
              <w:r>
                <w:t xml:space="preserve">Det er særlig innen Eiendom hvor vi har høyt sykefravær (11,55%), men en nedgang sammenlignet med samme periode i fjor. Langtidsfraværet er redusert, men korttidsfraværet har økt. Fraværet er særlig innen Renhold, hvor det totale sykefraværet for 2025 var på 11,21 %. Pr. april 2026 er samlet sykefravær 10,92 %, noe som viser en viss reduksjon sammenlignet med foregående år. Statistikken viser at det fremdeles i hovedsak er langtidsfravær som bidrar til det høye sykefraværet. Langtidsfraværet har vært stabilt på om lag 8 % i årets tre første måneder og utgjør dermed hoveddelen av det totale fraværet. Renholdsavdelingen har fortsatt tett og systematisk oppfølging av ansattes sykefravær, i tillegg til forebyggende tiltak og tilrettelegging. Dette vurderes å kunne bidra til å redusere varigheten av langtidsfraværet over tid. For øvrig jobbes det i Eiendom med oppfølging av sykemeldte; det gjøres tilretteleggingstiltak som har ført til at det er mulig med deltids-sykemeldinger i stedet for 100% sykemeldinger.</w:t>
              </w:r>
            </w:p>
            <w:p>
              <w:pPr>
                <w:spacing w:after="160"/>
              </w:pPr>
              <w:r>
                <w:t xml:space="preserve">Også innen Kommunalteknikk har vi et høyt fravær (8,99%). Samlet sett har Kommunalteknikk et høyere sykefravær sammenlignet med fjoråret.</w:t>
              </w:r>
            </w:p>
            <w:p>
              <w:pPr>
                <w:spacing w:after="160"/>
              </w:pPr>
              <w:r>
                <w:t xml:space="preserve">Det jobbes målrettet med tiltak for å tilrettelegge og redusere langtidssykefravær.</w:t>
              </w:r>
            </w:p>
            <w:p>
              <w:pPr>
                <w:spacing w:after="160"/>
              </w:pPr>
              <w:r>
                <w:drawing>
                  <wp:inline distT="0" distB="0" distL="0" distR="0">
                    <wp:extent cx="5276850" cy="2076450"/>
                    <wp:effectExtent l="19050" t="0" r="0" b="0"/>
                    <wp:docPr id="6" name="Picture 6" descr=""/>
                    <wp:cNvGraphicFramePr>
                      <a:graphicFrameLocks noChangeAspect="1"/>
                    </wp:cNvGraphicFramePr>
                    <a:graphic>
                      <a:graphicData uri="http://schemas.openxmlformats.org/drawingml/2006/picture">
                        <pic:pic>
                          <pic:nvPicPr>
                            <pic:cNvPr id="6" name="" descr=""/>
                            <pic:cNvPicPr>
                              <a:picLocks noChangeAspect="1" noChangeArrowheads="1"/>
                            </pic:cNvPicPr>
                          </pic:nvPicPr>
                          <pic:blipFill>
                            <a:blip r:embed="Rc105c81583b94263"/>
                            <a:srcRect/>
                            <a:stretch>
                              <a:fillRect/>
                            </a:stretch>
                          </pic:blipFill>
                          <pic:spPr bwMode="auto">
                            <a:xfrm>
                              <a:off x="0" y="0"/>
                              <a:ext cx="5276850" cy="2076450"/>
                            </a:xfrm>
                            <a:prstGeom prst="rect">
                              <a:avLst/>
                            </a:prstGeom>
                          </pic:spPr>
                        </pic:pic>
                      </a:graphicData>
                    </a:graphic>
                  </wp:inline>
                </w:drawing>
              </w:r>
            </w:p>
            <w:p>
              <w:pPr>
                <w:spacing w:after="160"/>
              </w:pPr>
              <w:r>
                <w:t xml:space="preserve"> </w:t>
              </w:r>
            </w:p>
            <w:p>
              <w:pPr>
                <w:spacing w:after="160"/>
              </w:pPr>
              <w:r>
                <w:rPr>
                  <w:b/>
                </w:rPr>
                <w:t xml:space="preserve">Organisasjon og utvikling</w:t>
              </w:r>
            </w:p>
            <w:p>
              <w:pPr>
                <w:spacing w:after="160"/>
              </w:pPr>
              <w:r>
                <w:t xml:space="preserve">Fraværet i OU for 1. kvartal 2026 er 7,1 %, dvs. omtrent som tilsvarende kvartal i foregående år. Korttidsfraværet har vært høyt hele kvartalet, som i resten av kommunen, og var på 3,5 % i mars. Dette skyldes i stor grad luftveisinfeksjoner. Det er store sprik på fraværet internt i området. Et stort område som innovasjon og digitalisering er langt ned på tretallet og kommunikasjon og innbyggerservice har knapt hatt fravær i 1. kvartal. På den andre siden er det enkeltenheter som har hatt et stort fravær i perioden og som dermed jevner ut tallet. Disse enhetene har høyt fravær både på korttid og langtid, og et par av enhetene jobbes det spesielt med mht. tiltak.</w:t>
              </w:r>
            </w:p>
            <w:p>
              <w:pPr>
                <w:spacing w:after="160"/>
              </w:pPr>
              <w:r>
                <w:drawing>
                  <wp:inline distT="0" distB="0" distL="0" distR="0">
                    <wp:extent cx="5324475" cy="2009774"/>
                    <wp:effectExtent l="19050" t="0" r="0" b="0"/>
                    <wp:docPr id="7" name="Picture 7" descr=""/>
                    <wp:cNvGraphicFramePr>
                      <a:graphicFrameLocks noChangeAspect="1"/>
                    </wp:cNvGraphicFramePr>
                    <a:graphic>
                      <a:graphicData uri="http://schemas.openxmlformats.org/drawingml/2006/picture">
                        <pic:pic>
                          <pic:nvPicPr>
                            <pic:cNvPr id="7" name="" descr=""/>
                            <pic:cNvPicPr>
                              <a:picLocks noChangeAspect="1" noChangeArrowheads="1"/>
                            </pic:cNvPicPr>
                          </pic:nvPicPr>
                          <pic:blipFill>
                            <a:blip r:embed="R7742463946584f0f"/>
                            <a:srcRect/>
                            <a:stretch>
                              <a:fillRect/>
                            </a:stretch>
                          </pic:blipFill>
                          <pic:spPr bwMode="auto">
                            <a:xfrm>
                              <a:off x="0" y="0"/>
                              <a:ext cx="5324475" cy="2009774"/>
                            </a:xfrm>
                            <a:prstGeom prst="rect">
                              <a:avLst/>
                            </a:prstGeom>
                          </pic:spPr>
                        </pic:pic>
                      </a:graphicData>
                    </a:graphic>
                  </wp:inline>
                </w:drawing>
              </w:r>
            </w:p>
            <w:p>
              <w:pPr>
                <w:spacing w:after="160"/>
              </w:pPr>
              <w:r>
                <w:t xml:space="preserve"> </w:t>
              </w:r>
            </w:p>
            <w:p>
              <w:pPr>
                <w:spacing w:after="160"/>
              </w:pPr>
              <w:r>
                <w:rPr>
                  <w:u w:val="single"/>
                </w:rPr>
                <w:t xml:space="preserve">Nav Skien  </w:t>
              </w:r>
            </w:p>
            <w:p>
              <w:pPr>
                <w:spacing w:after="160"/>
              </w:pPr>
              <w:r>
                <w:t xml:space="preserve">Nav Skien har i første kvartal hatt en positiv utvikling i sykefraværet, med en samlet nedgang sammenlignet med samme periode i 2025. Utviklingen kan knyttes til at kontoret har arbeidet målrettet og systematisk med både sykefraværsoppfølging og nærværsfremmende tiltak over tid. I 2025 gjennomførte vi medarbeiderundersøkelsen MUST. På bakgrunn av resultatene utarbeidet vi en handlingsplan som konkretiserer forbedringsområder og tiltak. Handlingsplanen eies av medbestemmelsesapparatet.</w:t>
              </w:r>
              <w:r>
                <w:br/>
              </w:r>
              <w:r>
                <w:t xml:space="preserve"> </w:t>
              </w:r>
            </w:p>
            <w:p>
              <w:pPr>
                <w:spacing w:after="160"/>
              </w:pPr>
              <w:r>
                <w:t xml:space="preserve">Tiltak for 2026:</w:t>
              </w:r>
            </w:p>
            <w:p>
              <w:pPr>
                <w:pStyle w:val="ListParagraph"/>
                <w:numPr>
                  <w:ilvl w:val="0"/>
                  <w:numId w:val="1"/>
                </w:numPr>
                <w:spacing w:after="160"/>
              </w:pPr>
              <w:r>
                <w:t xml:space="preserve">Ny medarbeiderundersøkelse er gjennomført våren 2026, handlingsplan oppdateres før sommeren. </w:t>
              </w:r>
            </w:p>
            <w:p>
              <w:pPr>
                <w:pStyle w:val="ListParagraph"/>
                <w:numPr>
                  <w:ilvl w:val="0"/>
                  <w:numId w:val="1"/>
                </w:numPr>
                <w:spacing w:after="160"/>
              </w:pPr>
              <w:r>
                <w:t xml:space="preserve">Vernerunde er gjennomført og ROS- analyse er revidert.</w:t>
              </w:r>
            </w:p>
            <w:p>
              <w:pPr>
                <w:pStyle w:val="ListParagraph"/>
                <w:numPr>
                  <w:ilvl w:val="0"/>
                  <w:numId w:val="1"/>
                </w:numPr>
                <w:spacing w:after="160"/>
              </w:pPr>
              <w:r>
                <w:t xml:space="preserve">Nav Skien omorganisert med flere avdelinger, slik at hver leder nå har færre ansatte å følge opp.</w:t>
              </w:r>
            </w:p>
            <w:p>
              <w:pPr>
                <w:pStyle w:val="ListParagraph"/>
                <w:numPr>
                  <w:ilvl w:val="0"/>
                  <w:numId w:val="1"/>
                </w:numPr>
                <w:spacing w:after="160"/>
              </w:pPr>
              <w:r>
                <w:t xml:space="preserve">Vi fortsetter å jobbe enhetlig med sykefraværsoppfølging ved kontoret, og følger strakstiltakene som er utarbeidet av verneombudene.</w:t>
              </w:r>
            </w:p>
            <w:p>
              <w:pPr>
                <w:spacing w:after="160"/>
              </w:pPr>
              <w:r>
                <w:drawing>
                  <wp:inline distT="0" distB="0" distL="0" distR="0">
                    <wp:extent cx="5095875" cy="1924049"/>
                    <wp:effectExtent l="19050" t="0" r="0" b="0"/>
                    <wp:docPr id="8" name="Picture 8" descr=""/>
                    <wp:cNvGraphicFramePr>
                      <a:graphicFrameLocks noChangeAspect="1"/>
                    </wp:cNvGraphicFramePr>
                    <a:graphic>
                      <a:graphicData uri="http://schemas.openxmlformats.org/drawingml/2006/picture">
                        <pic:pic>
                          <pic:nvPicPr>
                            <pic:cNvPr id="8" name="" descr=""/>
                            <pic:cNvPicPr>
                              <a:picLocks noChangeAspect="1" noChangeArrowheads="1"/>
                            </pic:cNvPicPr>
                          </pic:nvPicPr>
                          <pic:blipFill>
                            <a:blip r:embed="R97110349d3734e0b"/>
                            <a:srcRect/>
                            <a:stretch>
                              <a:fillRect/>
                            </a:stretch>
                          </pic:blipFill>
                          <pic:spPr bwMode="auto">
                            <a:xfrm>
                              <a:off x="0" y="0"/>
                              <a:ext cx="5095875" cy="1924049"/>
                            </a:xfrm>
                            <a:prstGeom prst="rect">
                              <a:avLst/>
                            </a:prstGeom>
                          </pic:spPr>
                        </pic:pic>
                      </a:graphicData>
                    </a:graphic>
                  </wp:inline>
                </w:drawing>
              </w:r>
            </w:p>
            <w:p>
              <w:pPr>
                <w:spacing w:after="160"/>
              </w:pPr>
              <w:r>
                <w:t xml:space="preserve"> </w:t>
              </w:r>
            </w:p>
            <w:p>
              <w:pPr>
                <w:spacing w:after="160"/>
              </w:pPr>
              <w:r>
                <w:rPr>
                  <w:b/>
                </w:rPr>
                <w:t xml:space="preserve">Effekten av saken </w:t>
              </w:r>
            </w:p>
            <w:p>
              <w:pPr>
                <w:spacing w:after="160"/>
              </w:pPr>
              <w:r>
                <w:t xml:space="preserve">Saken er kun en statusrapport og har ingen direkte konsekvens for verken klima, miljø, økonomi eller folkehelse.</w:t>
              </w:r>
            </w:p>
            <w:p>
              <w:pPr>
                <w:spacing w:after="160"/>
              </w:pPr>
              <w:r>
                <w:drawing>
                  <wp:inline distT="0" distB="0" distL="0" distR="0">
                    <wp:extent cx="5076825" cy="1590675"/>
                    <wp:effectExtent l="19050" t="0" r="0" b="0"/>
                    <wp:docPr id="9" name="Picture 9" descr=""/>
                    <wp:cNvGraphicFramePr>
                      <a:graphicFrameLocks noChangeAspect="1"/>
                    </wp:cNvGraphicFramePr>
                    <a:graphic>
                      <a:graphicData uri="http://schemas.openxmlformats.org/drawingml/2006/picture">
                        <pic:pic>
                          <pic:nvPicPr>
                            <pic:cNvPr id="9" name="" descr=""/>
                            <pic:cNvPicPr>
                              <a:picLocks noChangeAspect="1" noChangeArrowheads="1"/>
                            </pic:cNvPicPr>
                          </pic:nvPicPr>
                          <pic:blipFill>
                            <a:blip r:embed="Rb3843f3fb4434f26"/>
                            <a:srcRect/>
                            <a:stretch>
                              <a:fillRect/>
                            </a:stretch>
                          </pic:blipFill>
                          <pic:spPr bwMode="auto">
                            <a:xfrm>
                              <a:off x="0" y="0"/>
                              <a:ext cx="5076825" cy="1590675"/>
                            </a:xfrm>
                            <a:prstGeom prst="rect">
                              <a:avLst/>
                            </a:prstGeom>
                          </pic:spPr>
                        </pic:pic>
                      </a:graphicData>
                    </a:graphic>
                  </wp:inline>
                </w:drawing>
              </w:r>
            </w:p>
            <w:p>
              <w:pPr>
                <w:spacing w:after="160"/>
              </w:pPr>
              <w:r>
                <w:t xml:space="preserve"> </w:t>
              </w:r>
            </w:p>
            <w:p>
              <w:pPr>
                <w:spacing w:after="160"/>
              </w:pPr>
              <w:r>
                <w:rPr>
                  <w:b/>
                </w:rPr>
                <w:t xml:space="preserve">Kommunedirektørens vurdering og konklusjon</w:t>
              </w:r>
            </w:p>
            <w:p>
              <w:pPr>
                <w:spacing w:after="160"/>
              </w:pPr>
              <w:r>
                <w:t xml:space="preserve">Kommunedirektøren anbefaler at partssammensatt utvalg tar statusrapporten til orientering.</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image" Target="/media/image.jpg" Id="R20ff9779bb56494f" /><Relationship Type="http://schemas.openxmlformats.org/officeDocument/2006/relationships/image" Target="/media/image2.jpg" Id="R67e36882d34f45ca" /><Relationship Type="http://schemas.openxmlformats.org/officeDocument/2006/relationships/image" Target="/media/image3.jpg" Id="Rcc3ace478e1f4f84" /><Relationship Type="http://schemas.openxmlformats.org/officeDocument/2006/relationships/image" Target="/media/image4.jpg" Id="R5937a4ffb686413e" /><Relationship Type="http://schemas.openxmlformats.org/officeDocument/2006/relationships/image" Target="/media/image5.jpg" Id="Rc105c81583b94263" /><Relationship Type="http://schemas.openxmlformats.org/officeDocument/2006/relationships/image" Target="/media/image6.jpg" Id="R7742463946584f0f" /><Relationship Type="http://schemas.openxmlformats.org/officeDocument/2006/relationships/numbering" Target="/word/numbering.xml" Id="R29e7bd1c5db64168" /><Relationship Type="http://schemas.openxmlformats.org/officeDocument/2006/relationships/image" Target="/media/image7.jpg" Id="R97110349d3734e0b" /><Relationship Type="http://schemas.openxmlformats.org/officeDocument/2006/relationships/image" Target="/media/image8.jpg" Id="Rb3843f3fb4434f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Rapportering sykefravær 1. kvartal - PSU 26.05.26</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