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26/11893</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Ketil Mjøen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11.05.2026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Partssammensatt utvalg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24/26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26.05.2026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Sluttrapport ny avtale bedriftshelsetjenester</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Formannskapet og Partssammensatt utvalg tar saken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I Bystyresak 172/25 ble bl.a. følgende vedtatt:</w:t>
              </w:r>
            </w:p>
            <w:p>
              <w:pPr>
                <w:pStyle w:val="ListParagraph"/>
                <w:numPr>
                  <w:ilvl w:val="0"/>
                  <w:numId w:val="1"/>
                </w:numPr>
                <w:spacing w:after="160"/>
              </w:pPr>
              <w:r>
                <w:t xml:space="preserve">Pkt. 1. Bystyret viser til vedtak 18. desember 2024 og godkjenner at Kommunens bedriftshelsetjeneste (BHT) konkurranseutsettes.</w:t>
              </w:r>
            </w:p>
            <w:p>
              <w:pPr>
                <w:pStyle w:val="ListParagraph"/>
                <w:numPr>
                  <w:ilvl w:val="0"/>
                  <w:numId w:val="1"/>
                </w:numPr>
                <w:spacing w:after="160"/>
              </w:pPr>
              <w:r>
                <w:t xml:space="preserve">Pkt. 7. Ved gjennomført konkurranse skal sluttrapport med effekter og læringspunkter legges frem for Formannskapet.</w:t>
              </w:r>
            </w:p>
            <w:p>
              <w:pPr>
                <w:spacing w:after="160"/>
              </w:pPr>
              <w:r>
                <w:t xml:space="preserve">Denne saken følger opp pkt. 7 knyttet til konkurranseutsetting av bedriftshelsetjenester (Pkt. 1.).</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Det ble nedsatt en intern arbeidsgruppe som gjennomførte konkurranseutsettingsprosessen. Arbeidsgruppen bestod av:</w:t>
              </w:r>
            </w:p>
            <w:p>
              <w:pPr>
                <w:pStyle w:val="ListParagraph"/>
                <w:numPr>
                  <w:ilvl w:val="0"/>
                  <w:numId w:val="2"/>
                </w:numPr>
                <w:spacing w:after="160"/>
              </w:pPr>
              <w:r>
                <w:t xml:space="preserve">Pål Vaage Martinsen, Spesialrådgiver ved økonomi og leder av gruppen</w:t>
              </w:r>
            </w:p>
            <w:p>
              <w:pPr>
                <w:pStyle w:val="ListParagraph"/>
                <w:numPr>
                  <w:ilvl w:val="0"/>
                  <w:numId w:val="2"/>
                </w:numPr>
                <w:spacing w:after="160"/>
              </w:pPr>
              <w:r>
                <w:t xml:space="preserve">Anne Kristine Jacoby, HR-rådgiver</w:t>
              </w:r>
            </w:p>
            <w:p>
              <w:pPr>
                <w:pStyle w:val="ListParagraph"/>
                <w:numPr>
                  <w:ilvl w:val="0"/>
                  <w:numId w:val="2"/>
                </w:numPr>
                <w:spacing w:after="160"/>
              </w:pPr>
              <w:r>
                <w:t xml:space="preserve">Ketil Mjøen, Forhandlingssjef ved HR</w:t>
              </w:r>
            </w:p>
            <w:p>
              <w:pPr>
                <w:pStyle w:val="ListParagraph"/>
                <w:numPr>
                  <w:ilvl w:val="0"/>
                  <w:numId w:val="2"/>
                </w:numPr>
                <w:spacing w:after="160"/>
              </w:pPr>
              <w:r>
                <w:t xml:space="preserve">Andrea Mayer, Hovedtillitsvalgt i NSF</w:t>
              </w:r>
            </w:p>
            <w:p>
              <w:pPr>
                <w:pStyle w:val="ListParagraph"/>
                <w:numPr>
                  <w:ilvl w:val="0"/>
                  <w:numId w:val="2"/>
                </w:numPr>
                <w:spacing w:after="160"/>
              </w:pPr>
              <w:r>
                <w:t xml:space="preserve">Laila Brattelid/Cathrine Vik Grimsgaard, frikjøpte tillitsvalgte i Fagforbundet</w:t>
              </w:r>
            </w:p>
            <w:p>
              <w:pPr>
                <w:spacing w:after="160"/>
              </w:pPr>
              <w:r>
                <w:t xml:space="preserve">Arbeidsgruppen utarbeidet konkurransegrunnlag for anskaffelse av bedriftshelsetjenester i samarbeid med Grenlandskommunenes Innkjøpsenhet (GKI). Dette ble gjort etter samme mal som Porsgrunn og Bamble kommuner tidligere har benyttet. Konkurransegrunnlaget ble gjennomgått og kvalitetssikret med de ansatte i kommunens interne Bedriftshelsetjeneste.</w:t>
              </w:r>
            </w:p>
            <w:p>
              <w:pPr>
                <w:spacing w:after="160"/>
              </w:pPr>
              <w:r>
                <w:t xml:space="preserve">Konkurransen for BHT ble gjennomført i tråd med Lov om offentlige anskaffelser og ble kunngjort både på Doffin (nasjonalt) og TED (EØS) den 19.02.2026. Tilbudsfristen ble satt til fredag 20. mars kl.12.</w:t>
              </w:r>
            </w:p>
            <w:p>
              <w:pPr>
                <w:spacing w:after="160"/>
              </w:pPr>
              <w:r>
                <w:t xml:space="preserve">Det kom inn fire tilbud innen fristen, samtlige fra bedriftshelsetjenester i Grenlandsområdet. Arbeidsgruppen gjennomgikk og vurderte tilbudene i samarbeid med GKI, basert på de definerte tildelingskriteriene:</w:t>
              </w:r>
            </w:p>
            <w:p>
              <w:pPr>
                <w:pStyle w:val="ListParagraph"/>
                <w:numPr>
                  <w:ilvl w:val="0"/>
                  <w:numId w:val="3"/>
                </w:numPr>
                <w:spacing w:after="160"/>
              </w:pPr>
              <w:r>
                <w:t xml:space="preserve">Pris 40%</w:t>
              </w:r>
            </w:p>
            <w:p>
              <w:pPr>
                <w:pStyle w:val="ListParagraph"/>
                <w:numPr>
                  <w:ilvl w:val="0"/>
                  <w:numId w:val="3"/>
                </w:numPr>
                <w:spacing w:after="160"/>
              </w:pPr>
              <w:r>
                <w:t xml:space="preserve">Løsningsforslag 30%</w:t>
              </w:r>
            </w:p>
            <w:p>
              <w:pPr>
                <w:pStyle w:val="ListParagraph"/>
                <w:numPr>
                  <w:ilvl w:val="0"/>
                  <w:numId w:val="3"/>
                </w:numPr>
                <w:spacing w:after="160"/>
              </w:pPr>
              <w:r>
                <w:t xml:space="preserve">Faglig kompetanse og erfaring 30%</w:t>
              </w:r>
            </w:p>
            <w:p>
              <w:pPr>
                <w:spacing w:after="160"/>
              </w:pPr>
              <w:r>
                <w:t xml:space="preserve">Resultatet ble at Bedriftshelsen vant konkurransen. De øvrige tilbyderne ble orientert om resultatet og det ble ikke mottatt innsigelser fra dem innen klagefristen. Bedriftshelsen er også leverandør av bedriftshelsetjenester til Porsgrunn og Bamble kommuner.</w:t>
              </w:r>
            </w:p>
            <w:p>
              <w:pPr>
                <w:spacing w:after="160"/>
              </w:pPr>
              <w:r>
                <w:t xml:space="preserve">Kontrakt mellom Bedriftshelsen v/daglig leder og Skien kommune v/kommunedirektør ble signert 13. april 2026. Oppstart av Bedriftshelsens leveranse til Skien kommune er satt til 1. august 2026. Fra samme dato blir kommunens interne bedriftshelsetjeneste avviklet.</w:t>
              </w:r>
            </w:p>
            <w:p>
              <w:pPr>
                <w:spacing w:after="160"/>
              </w:pPr>
              <w:r>
                <w:t xml:space="preserve"> </w:t>
              </w:r>
            </w:p>
            <w:p>
              <w:pPr>
                <w:spacing w:after="160"/>
              </w:pPr>
              <w:r>
                <w:rPr>
                  <w:i/>
                </w:rPr>
                <w:t xml:space="preserve">Økonomisk og faglig effekt av saken</w:t>
              </w:r>
            </w:p>
            <w:p>
              <w:pPr>
                <w:spacing w:after="160"/>
              </w:pPr>
              <w:r>
                <w:t xml:space="preserve">Konkurransen ble gjennomført med et estimert volum, basert på vår interne bedriftshelsetjenestes aktivitet de siste tre år. Bedriftshelsens tilbud på kr.1.821.000 indikerer en besparelse på kr.2.947.000 i forhold til dagens budsjett på kr.4.768.000 til intern bedriftshelsetjeneste.</w:t>
              </w:r>
            </w:p>
            <w:p>
              <w:pPr>
                <w:spacing w:after="160"/>
              </w:pPr>
              <w:r>
                <w:t xml:space="preserve">Når det gjelder selve bedriftshelsetjenesten får kommunen tilgang til en bredere faglig kompetanse gjennom Bedriftshelsens totalt 43 ansatte i Telemark og Vestfold.</w:t>
              </w:r>
            </w:p>
            <w:p>
              <w:pPr>
                <w:spacing w:after="160"/>
              </w:pPr>
              <w:r>
                <w:t xml:space="preserve"> </w:t>
              </w:r>
            </w:p>
            <w:p>
              <w:pPr>
                <w:spacing w:after="160"/>
              </w:pPr>
              <w:r>
                <w:rPr>
                  <w:i/>
                </w:rPr>
                <w:t xml:space="preserve">Læringspunkter av saken</w:t>
              </w:r>
            </w:p>
            <w:p>
              <w:pPr>
                <w:pStyle w:val="ListParagraph"/>
                <w:numPr>
                  <w:ilvl w:val="0"/>
                  <w:numId w:val="4"/>
                </w:numPr>
                <w:spacing w:after="160"/>
              </w:pPr>
              <w:r>
                <w:t xml:space="preserve">Viktig med en grundig avklaring i forkant om nytteverdi knyttet til konkurranseutsettingen. Markedsdialog og risikovurdering er viktig i denne sammenheng.</w:t>
              </w:r>
            </w:p>
            <w:p>
              <w:pPr>
                <w:pStyle w:val="ListParagraph"/>
                <w:numPr>
                  <w:ilvl w:val="0"/>
                  <w:numId w:val="4"/>
                </w:numPr>
                <w:spacing w:after="160"/>
              </w:pPr>
              <w:r>
                <w:t xml:space="preserve">Viktig å organisere konkurranseutsettingsarbeidet med arbeidsgrupper med relevant og nødvendig kompetanse, hvor også GKI er representert.</w:t>
              </w:r>
            </w:p>
            <w:p>
              <w:pPr>
                <w:pStyle w:val="ListParagraph"/>
                <w:numPr>
                  <w:ilvl w:val="0"/>
                  <w:numId w:val="4"/>
                </w:numPr>
                <w:spacing w:after="160"/>
              </w:pPr>
              <w:r>
                <w:t xml:space="preserve">Viktig å involvere tillitsvalgtrepresentanter i arbeidet.</w:t>
              </w:r>
            </w:p>
            <w:p>
              <w:pPr>
                <w:pStyle w:val="ListParagraph"/>
                <w:numPr>
                  <w:ilvl w:val="0"/>
                  <w:numId w:val="4"/>
                </w:numPr>
                <w:spacing w:after="160"/>
              </w:pPr>
              <w:r>
                <w:t xml:space="preserve">Viktig å ivareta og følge opp berørte ansatte med bl.a. informasjon underveis i prosessen.</w:t>
              </w:r>
            </w:p>
            <w:p>
              <w:pPr>
                <w:pStyle w:val="ListParagraph"/>
                <w:numPr>
                  <w:ilvl w:val="0"/>
                  <w:numId w:val="4"/>
                </w:numPr>
                <w:spacing w:after="160"/>
              </w:pPr>
              <w:r>
                <w:t xml:space="preserve">Viktig å kvalitetssikre konkurransegrunnlag med representanter for området som konkurranseutsettes.</w:t>
              </w:r>
            </w:p>
            <w:p>
              <w:pPr>
                <w:pStyle w:val="ListParagraph"/>
                <w:numPr>
                  <w:ilvl w:val="0"/>
                  <w:numId w:val="4"/>
                </w:numPr>
                <w:spacing w:after="160"/>
              </w:pPr>
              <w:r>
                <w:t xml:space="preserve">Viktig å avklare tidlig i prosessen hvorvidt konkurranseutsettingen også forutsetter virksomhetsoverdragelse av ansatte. Desto større områder som konkurranseutsettes, desto vanskeligere er det å omstille berørte ansatte til ledige interne stillinger som de ansatte også er kvalifisert til. Renovasjon i Grenland (RiG) og Grenland Brann og Redning (GBR) er eksempler på tidligere virksomhetsoverdragelser.</w:t>
              </w:r>
            </w:p>
            <w:p>
              <w:pPr>
                <w:spacing w:after="160"/>
              </w:pPr>
              <w:r>
                <w:br/>
              </w:r>
              <w:r>
                <w:rPr>
                  <w:b/>
                </w:rPr>
                <w:t xml:space="preserve">Effekten av saken </w:t>
              </w:r>
              <w:r>
                <w:br/>
              </w:r>
              <w:r>
                <w:t xml:space="preserve">Saken har ikke konsekvenser for klima, miljø eller folkehelse. Den økonomiske konsekvensen er positiv.</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c>
                  <w:tcPr>
                    <w:vAlign w:val="center"/>
                  </w:tcPr>
                  <w:p>
                    <w:pPr>
                      <w:jc w:val="center"/>
                      <w:spacing w:after="160"/>
                    </w:pPr>
                    <w:r>
                      <w:t xml:space="preserve"> </w:t>
                    </w:r>
                  </w:p>
                </w:tc>
              </w:tr>
            </w:tbl>
            <w:p>
              <w:pPr>
                <w:spacing w:after="160"/>
              </w:pPr>
              <w:r>
                <w:br/>
              </w:r>
              <w:r>
                <w:rPr>
                  <w:b/>
                </w:rPr>
                <w:t xml:space="preserve">Kommunedirektørens vurdering og konklusjon</w:t>
              </w:r>
              <w:r>
                <w:br/>
              </w:r>
              <w:r>
                <w:t xml:space="preserve">Konkurranseutsetting av kommunens bedriftshelsetjeneste er gjennomført i tråd med Bystyrets vedtak. Effekter og læringspunkter er opplyst i saken. Det anbefales at Formannskapet og Partssammensatt utvalg (PSU) tar saken til orientering.</w:t>
              </w:r>
            </w:p>
            <w:p>
              <w:pPr>
                <w:spacing w:after="160"/>
              </w:pPr>
              <w:r>
                <w:br/>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db136f48c05b45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Sluttrapport ny avtale bedriftshelsetjenester</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