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24/1311</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55</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Ann-Beate Myhra</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28.04.2026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Bystyret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Grenland havn IKS - innkalling til representantskap</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Ordførers innstilling</w:t>
              </w:r>
            </w:p>
            <w:p>
              <w:pPr>
                <w:pStyle w:val="ListParagraph"/>
                <w:numPr>
                  <w:ilvl w:val="0"/>
                  <w:numId w:val="1"/>
                </w:numPr>
                <w:spacing w:after="160"/>
              </w:pPr>
              <w:r>
                <w:t xml:space="preserve">Innkalling til representantskapskapsmøte i Grenland havn IKS 05.06.26 tas til orientering. </w:t>
              </w:r>
            </w:p>
            <w:p>
              <w:pPr>
                <w:pStyle w:val="ListParagraph"/>
                <w:numPr>
                  <w:ilvl w:val="0"/>
                  <w:numId w:val="1"/>
                </w:numPr>
                <w:spacing w:after="160"/>
              </w:pPr>
              <w:r>
                <w:t xml:space="preserve">Skien kommunes representanter i representantskapet gis fullmakt til å stemme for forslag til vedtak i tråd med bystyrets signaler. </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Grenland Havn IKS er et interkommunalt selskap eid av Skien, Porsgrunn og Bamble kommuner, hver med en eierandel på ⅓. Selskapet er opprettet for å samordne og ivareta den kommunale havnevirksomheten innen samarbeidsområdet for eierkommunene, og skal sammen med andre havneinteresser bidra til et samlet og konkurransedyktig havnetilbud i regionen. </w:t>
              </w:r>
            </w:p>
            <w:p>
              <w:pPr>
                <w:spacing w:after="160"/>
              </w:pPr>
              <w:r>
                <w:t xml:space="preserve">Skien kommunes eierskapsmelding pkt. 3.4 annet ledd jf. pkt. 6.1 fjerde ledd angir at møteinnkallinger til representantskapsmøter i interkommunale selskaper (IKS) skal behandles av bystyret. </w:t>
              </w:r>
            </w:p>
            <w:p>
              <w:pPr>
                <w:spacing w:after="160"/>
              </w:pPr>
              <w:r>
                <w:br/>
              </w:r>
              <w:r>
                <w:rPr>
                  <w:b/>
                </w:rPr>
                <w:t xml:space="preserve">Eierstyring</w:t>
              </w:r>
              <w:r>
                <w:br/>
              </w:r>
              <w:r>
                <w:t xml:space="preserve">I interkommunale selskaper (IKS) er representantskapet selskapets øverste myndighet, jf. IKS-loven § 7. Representantskapet for Grenland Havn består av 12 politikere fra eierkommunene. Fra Skien sitter Kari Lise Holmberg (H), Sigfred Haugen (FrP), Trude Tvedt (Ap) og Ole Martin Haukland (SV) i representantskapet.</w:t>
              </w:r>
            </w:p>
            <w:p>
              <w:pPr>
                <w:spacing w:after="160"/>
              </w:pPr>
              <w:r>
                <w:t xml:space="preserve">Erik Olsson (H) er styremedlem i selskapet, valgt i representantskapet 06.03.26.</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br/>
              </w:r>
              <w:r>
                <w:t xml:space="preserve">Representantskapet for Grenland havn IKS avholder møte fredag 05.06.26 på havnekontoret i Brevik, og skal behandle følgende saker:</w:t>
              </w:r>
            </w:p>
            <w:p>
              <w:pPr>
                <w:spacing w:after="160"/>
              </w:pPr>
              <w:r>
                <w:t xml:space="preserve">07/2026 - Regnskap pr. 31.03 (Q1)</w:t>
              </w:r>
              <w:r>
                <w:br/>
              </w:r>
              <w:r>
                <w:t xml:space="preserve">08/2026 - Ajourført likviditetsutvikling pr. 31.03.</w:t>
              </w:r>
              <w:r>
                <w:br/>
              </w:r>
              <w:r>
                <w:t xml:space="preserve">09/2026 - Årsregnskap 2025</w:t>
              </w:r>
              <w:r>
                <w:br/>
              </w:r>
              <w:r>
                <w:t xml:space="preserve">10/2026 - Klimaregnskap 2025</w:t>
              </w:r>
              <w:r>
                <w:br/>
              </w:r>
              <w:r>
                <w:t xml:space="preserve">11/2026 - Lån: Elektrifisering av Solveig</w:t>
              </w:r>
              <w:r>
                <w:br/>
              </w:r>
              <w:r>
                <w:t xml:space="preserve">12/2026 - Unntatt offentlighet</w:t>
              </w:r>
            </w:p>
            <w:p>
              <w:pPr>
                <w:spacing w:after="160"/>
              </w:pPr>
              <w:r>
                <w:br/>
              </w:r>
              <w:r>
                <w:rPr>
                  <w:b/>
                </w:rPr>
                <w:t xml:space="preserve">Mer detaljert om sakene</w:t>
              </w:r>
            </w:p>
            <w:p>
              <w:pPr>
                <w:spacing w:after="160"/>
              </w:pPr>
              <w:r>
                <w:rPr>
                  <w:b/>
                </w:rPr>
                <w:t xml:space="preserve">07/2026 - Regnskap pr. 31.03. (Q1)</w:t>
              </w:r>
              <w:r>
                <w:br/>
              </w:r>
              <w:r>
                <w:t xml:space="preserve">Inntektene i første kvartal 2026 var 22,2 MNOK. Det er noe over budsjett, men lavere enn samme periode i fjor, grunnet reduserte Vianode-inntekter. Driftskostnadene var lavere enn budsjett (15 MNOK), men betydelig høyere enn i fjor, hovedsakelig som følge av økte administrative kostnader og eiendomsskatt, som gir en merkostnad på ca. 1 MNOK i 2026.</w:t>
              </w:r>
            </w:p>
            <w:p>
              <w:pPr>
                <w:spacing w:after="160"/>
              </w:pPr>
              <w:r>
                <w:t xml:space="preserve">Finanskostnadene er på nivå med budsjett, men ventes å øke noe gjennom året grunnet høyere renter, til tross for lavere gjeld. EBITDA er sterkere enn budsjettert i første kvartal (32,3 %), men forventes å falle til rundt 25 % for året. Resultat før skatt er bedre enn budsjett per Q1 (1,8 MNOK), men helårsprognosen er nedjustert til ca. 0,5 MNOK.</w:t>
              </w:r>
            </w:p>
            <w:p>
              <w:pPr>
                <w:spacing w:after="160"/>
              </w:pPr>
              <w:r>
                <w:t xml:space="preserve">Det er investert 26,5 MNOK så langt i år, primært på Frier Vest, med forventet totalinvestering på rundt 200 MNOK i 2026. Likviditeten vurderes som god, med en likviditetsgrad på 2,0 ved utgangen av kvartalet.</w:t>
              </w:r>
            </w:p>
            <w:p>
              <w:pPr>
                <w:spacing w:after="160"/>
              </w:pPr>
              <w:r>
                <w:br/>
              </w:r>
              <w:r>
                <w:rPr>
                  <w:b/>
                </w:rPr>
                <w:t xml:space="preserve">08/2026 - Ajourført likviditetsutvikling pr. 31.03.</w:t>
              </w:r>
              <w:r>
                <w:br/>
              </w:r>
              <w:r>
                <w:t xml:space="preserve">Prognose for kommende år justeres etter endringer i vedtatt budsjett. Oppdatert prognose er justert ved at nedsalg i Frier Vest Holding og oppstart av fase 2 er tatt ut. Prognosen viser to år under vedtatt minimumsbeholdning på 10 MNOK, men administrasjonen og styret vurderer dette som håndterbart. Enkelte investeringer er med i prognosen, men det er sannsynlig at disse vil bli skjøvet frem i tid, og løfte prognosen over minimum.</w:t>
              </w:r>
            </w:p>
            <w:p>
              <w:pPr>
                <w:spacing w:after="160"/>
              </w:pPr>
              <w:r>
                <w:br/>
              </w:r>
              <w:r>
                <w:rPr>
                  <w:b/>
                </w:rPr>
                <w:t xml:space="preserve">09/2026 - Årsregnskap 2025</w:t>
              </w:r>
              <w:r>
                <w:t xml:space="preserve"> </w:t>
              </w:r>
              <w:r>
                <w:br/>
              </w:r>
              <w:r>
                <w:t xml:space="preserve">Sum driftsinntekter var 94,3 MNOK, 1,6 MNOK høyere enn budsjettert og opp fra 82,5 MNOK i 2024. Økningen skyldes nye leieinntekter fra Vianode og et svært godt år for vederlag og gebyrer. Driftskostnader var på 81,1 MNOK. Dette er 2,4 MNOK mer enn budsjettert. Årsresultat etter skatt endte på kr. 3 149 291 mot budsjettert kr. 2 089 000. Selskapet er nå tilbake på positiv side etter to år med negativt resultat. Årsresultatet ble bedre enn budsjett som følge av økte salgsinntekter og driftsinntekter, reduserte lønnskostnader og reduserte avskrivninger, i tillegg til økte renteinntekter. Samtidig var det økte driftskostnader på ca. 8 MNOK. </w:t>
              </w:r>
            </w:p>
            <w:p>
              <w:pPr>
                <w:spacing w:after="160"/>
              </w:pPr>
              <w:r>
                <w:t xml:space="preserve">Selskapet har relativt høy gjeld på 542 MNOK. Dette gir en gjeldsgrad på 1,4. Av samlet gjeld utgjør gjeld til Kommunalbanken hovedvekten med 520 MNOK. </w:t>
              </w:r>
            </w:p>
            <w:p>
              <w:pPr>
                <w:spacing w:after="160"/>
              </w:pPr>
              <w:r>
                <w:t xml:space="preserve">I 2025 ble det håndtert 3,4 mill. tonn gods over Grenland havns kaier. Dette var en økning på 11 % fra foregående år og det høyeste nivået i selskapets historie. </w:t>
              </w:r>
            </w:p>
            <w:p>
              <w:pPr>
                <w:spacing w:after="160"/>
              </w:pPr>
              <w:r>
                <w:t xml:space="preserve">I løpet av året ble det for første gang eksportert flytende CO</w:t>
              </w:r>
              <w:r>
                <w:rPr>
                  <w:vertAlign w:val="superscript"/>
                </w:rPr>
                <w:t xml:space="preserve">2</w:t>
              </w:r>
              <w:r>
                <w:t xml:space="preserve"> over Breviksterminalen. </w:t>
              </w:r>
            </w:p>
            <w:p>
              <w:pPr>
                <w:spacing w:after="160"/>
              </w:pPr>
              <w:r>
                <w:t xml:space="preserve">Grenland havn har gjennom året videreutviklet sitt arbeid innen maritim sikring, beredskap og totalforsvar. Selskapet har gjennomført nødvendige oppdateringer av sikrings- og beredskapsplanverk, de har styrket samarbeid med relevante myndigheter og deltatt i øvelser. Det er også tatt i bruk nye digitale verktøy for krisehåndtering og varsling. </w:t>
              </w:r>
            </w:p>
            <w:p>
              <w:pPr>
                <w:spacing w:after="160"/>
              </w:pPr>
              <w:r>
                <w:br/>
              </w:r>
              <w:r>
                <w:rPr>
                  <w:b/>
                </w:rPr>
                <w:t xml:space="preserve">10/2026 - Klimaregnskap 2025</w:t>
              </w:r>
              <w:r>
                <w:br/>
              </w:r>
              <w:r>
                <w:t xml:space="preserve">Grenland havns klimaregnskap for 2025 viser et samlet utslipp på 621 tonn CO</w:t>
              </w:r>
              <w:r>
                <w:rPr>
                  <w:vertAlign w:val="superscript"/>
                </w:rPr>
                <w:t xml:space="preserve">2</w:t>
              </w:r>
              <w:r>
                <w:t xml:space="preserve">-ekvivalenter, noe som er en nedgang på 4 % sammenlignet med året før. Årets klimaregnskap er utarbeidet gjennom egen klimaregnskapsmodul i Visma. Denne modulen håndterer utslipp i henhold til GHG-protokollen (Greenhouse Gas Protocol) som er det mest utbredte rammeverket for å rapportere klimagassutslipp globalt. Klimagassutslippene inndeles her i følgende kategorier og er skilt ut på fordeling og mengde av de konkrete utslippene:</w:t>
              </w:r>
            </w:p>
            <w:p>
              <w:pPr>
                <w:pStyle w:val="ListParagraph"/>
                <w:numPr>
                  <w:ilvl w:val="0"/>
                  <w:numId w:val="2"/>
                </w:numPr>
                <w:spacing w:after="160"/>
              </w:pPr>
              <w:r>
                <w:t xml:space="preserve">Scope 1: (direkte utslipp fra egne kjøretøy og maskiner): 25 % (153 tonn)</w:t>
              </w:r>
            </w:p>
            <w:p>
              <w:pPr>
                <w:pStyle w:val="ListParagraph"/>
                <w:numPr>
                  <w:ilvl w:val="0"/>
                  <w:numId w:val="2"/>
                </w:numPr>
                <w:spacing w:after="160"/>
              </w:pPr>
              <w:r>
                <w:t xml:space="preserve">Scope 2: (indirekte utslipp fra energi brukt til oppvarming og belysning): 2 % (33 tonn)</w:t>
              </w:r>
            </w:p>
            <w:p>
              <w:pPr>
                <w:pStyle w:val="ListParagraph"/>
                <w:numPr>
                  <w:ilvl w:val="0"/>
                  <w:numId w:val="2"/>
                </w:numPr>
                <w:spacing w:after="160"/>
              </w:pPr>
              <w:r>
                <w:t xml:space="preserve">Scope 3: (indirekte utslipp fra aktiviteter utenfor direkte kontroll): 70 % (435 tonn)</w:t>
              </w:r>
            </w:p>
            <w:p>
              <w:pPr>
                <w:spacing w:after="160"/>
              </w:pPr>
              <w:r>
                <w:br/>
              </w:r>
              <w:r>
                <w:rPr>
                  <w:b/>
                </w:rPr>
                <w:t xml:space="preserve">11/2026 - Lån: Elektrifisering av Solveig</w:t>
              </w:r>
              <w:r>
                <w:br/>
              </w:r>
              <w:r>
                <w:t xml:space="preserve">Kranen Solveig (Gottwald) som ble kjøpt i 2023 er klargjort for bruk på elektrisk drift, men må likevel bygges om for å kunne gå på strøm. Når ombyggingen er gjennomført, vil kranen kunne operere både elektrisk og på tradisjonelt drivstoff. Tiltaket gjennomføres av hensyn til klimaet, for å øke driftssikkerheten gjennom fleksibel energibruk, og for å bidra til at fremtidig operatør får tilgang til elektrisk kran fra oppstart. Kranen skal flyttes til Frier Vest havneterminal innen åpningen 1. desember. Fra dette tidspunktet overtar ny operatør ansvaret for drift og vedlikehold av kranen. </w:t>
              </w:r>
            </w:p>
            <w:p>
              <w:pPr>
                <w:spacing w:after="160"/>
              </w:pPr>
              <w:r>
                <w:t xml:space="preserve">Elektrifiseringen er vedtatt i investeringsbudsjett for 2026.</w:t>
              </w:r>
            </w:p>
            <w:p>
              <w:pPr>
                <w:spacing w:after="160"/>
              </w:pPr>
              <w:r>
                <w:br/>
              </w:r>
              <w:r>
                <w:rPr>
                  <w:b/>
                </w:rPr>
                <w:t xml:space="preserve">12/2026 - Unntatt offentlighet</w:t>
              </w:r>
              <w:r>
                <w:br/>
              </w:r>
              <w:r>
                <w:t xml:space="preserve">Behandles særskilt, som egen sak unntatt offentlighet etter offentleglova § 23 fjerde ledd.</w:t>
              </w:r>
              <w:r>
                <w:br/>
              </w:r>
              <w:r>
                <w:t xml:space="preserve"> </w:t>
              </w:r>
            </w:p>
            <w:p>
              <w:pPr>
                <w:spacing w:after="160"/>
              </w:pPr>
              <w:r>
                <w:rPr>
                  <w:b/>
                </w:rPr>
                <w:t xml:space="preserve">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keepNext/>
                      <w:jc w:val="cente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keepNext/>
                      <w:jc w:val="cente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keepNext/>
                      <w:jc w:val="cente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keepNext/>
                      <w:jc w:val="cente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t xml:space="preserve"> </w:t>
              </w:r>
            </w:p>
            <w:p>
              <w:pPr>
                <w:spacing w:after="160"/>
              </w:pPr>
              <w:r>
                <w:rPr>
                  <w:b/>
                </w:rPr>
                <w:t xml:space="preserve">Ordførers vurdering og konklusjon</w:t>
              </w:r>
              <w:r>
                <w:br/>
              </w:r>
              <w:r>
                <w:t xml:space="preserve">Saken legges for bystyret til behandling. Det er i representantskapsmøter at Skien kommune utøver sitt eierskap, og det er ved behandling av møteinnkallingen bystyret har anledning til å instruere kommunens representanter i representantskapet.</w:t>
              </w:r>
            </w:p>
            <w:p>
              <w:pPr>
                <w:spacing w:after="160"/>
              </w:pPr>
              <w:r>
                <w:br/>
              </w:r>
              <w:r>
                <w:rPr>
                  <w:b/>
                </w:rPr>
                <w:t xml:space="preserve">Referanser</w:t>
              </w:r>
              <w:r>
                <w:br/>
              </w:r>
              <w:r>
                <w:t xml:space="preserve">Lov om interkommunale selskaper (IKS-loven)</w:t>
              </w:r>
              <w:r>
                <w:br/>
              </w:r>
              <w:hyperlink w:history="true" r:id="R93a3d1f7d15b4b51">
                <w:r>
                  <w:rPr>
                    <w:rStyle w:val="Hyperlink"/>
                  </w:rPr>
                  <w:t xml:space="preserve">Kommunens eierskap - Skien kommune</w:t>
                </w:r>
              </w:hyperlink>
              <w:r>
                <w:br/>
              </w: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1. Grenland havn IKS - innkalling til representantskap 5. juni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2. Representantskapet for Grenland Havn IKS - 5. juni 2026 - ettersendte saker 7/26 og 8/26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3. Eieravtale</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4. Grenland Havn IKS - selskapsavtale 07.10.22</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character" w:styleId="Hyperlink">
    <w:name w:val="Hyperlink"/>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3ff97c5d15754bba" /><Relationship Type="http://schemas.openxmlformats.org/officeDocument/2006/relationships/hyperlink" Target="https://www.skien.kommune.no/politikk/kommunens-eierskap/#index6" TargetMode="External" Id="R93a3d1f7d15b4b51"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Grenland havn IKS - innkalling til representantskap</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