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26/13390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Stein Birger Johnsen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29.05.2026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Mulig salg av tomt</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Skien kommune starter en prosess med sikte på å inngå opsjonsavtale for å selge del av gnr. 235, bnr. 57 i Skien kommune, benevnt som N 26 i kommuneplanens arealdel, til datasentervirksomhet.</w:t>
              </w:r>
            </w:p>
            <w:p>
              <w:pPr>
                <w:pStyle w:val="ListParagraph"/>
                <w:numPr>
                  <w:ilvl w:val="0"/>
                  <w:numId w:val="1"/>
                </w:numPr>
                <w:spacing w:after="160"/>
              </w:pPr>
              <w:r>
                <w:t xml:space="preserve">Bystyret nedsetter et forhandlingsutvalg på fire (4) representanter som skal bistå administrasjonen med å fremforhandle en avtale. Representantene i forhandlingsutvalget er ....</w:t>
              </w:r>
            </w:p>
            <w:p>
              <w:pPr>
                <w:pStyle w:val="ListParagraph"/>
                <w:numPr>
                  <w:ilvl w:val="0"/>
                  <w:numId w:val="1"/>
                </w:numPr>
                <w:spacing w:after="160"/>
              </w:pPr>
              <w:r>
                <w:t xml:space="preserve">Avtalen skal endelig godkjennes av formannskapet.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1. Innledning</w:t>
              </w:r>
            </w:p>
            <w:p>
              <w:pPr>
                <w:spacing w:after="160"/>
              </w:pPr>
              <w:r>
                <w:t xml:space="preserve">Saken omhandler et mulig salg av arealer via en opsjonsavtale.</w:t>
              </w:r>
            </w:p>
            <w:p>
              <w:pPr>
                <w:spacing w:after="160"/>
              </w:pPr>
              <w:r>
                <w:t xml:space="preserve">Arealene eies av Skien Tomteselskap AS, org. nr. 930 463 701. Skien Tomteselskap AS eies 100 % av Skien kommune.</w:t>
              </w:r>
            </w:p>
            <w:p>
              <w:pPr>
                <w:spacing w:after="160"/>
              </w:pPr>
              <w:r>
                <w:t xml:space="preserve">De aktuelle arealene er en del av gnr. 235, bnr. 57 i Skien kommune. Arealene er ikke regulert, men er vist i arealdelen til kommuneplan for Skien kommune som næringsområde N 26. Området har vist seg å være attraktivt i forbindelse med etablering av datasenter. Arealet kan representere en meget høy verdi knyttet til en slik type virksomhet.</w:t>
              </w:r>
            </w:p>
            <w:p>
              <w:pPr>
                <w:spacing w:after="160"/>
              </w:pPr>
              <w:r>
                <w:t xml:space="preserve">Utviklingen innen datasenterbransjen går svært raskt, og det er nå aktuelt å inngå en eller flere opsjonsavtaler som medfører utvikling og et fremtidig salg av eiendommen. Som følge av endringer i vurderingskriteriene i reglene for modenhetsvurderinger knyttet til ny nettkapasitet, har det meldt seg interessenter til den aktuelle eiendommen.</w:t>
              </w:r>
            </w:p>
            <w:p>
              <w:pPr>
                <w:spacing w:after="160"/>
              </w:pPr>
              <w:r>
                <w:t xml:space="preserve"> </w:t>
              </w:r>
            </w:p>
            <w:p>
              <w:pPr>
                <w:spacing w:after="160"/>
              </w:pPr>
              <w:r>
                <w:rPr>
                  <w:b/>
                </w:rPr>
                <w:t xml:space="preserve">2. Bakgrunn for saken</w:t>
              </w:r>
            </w:p>
            <w:p>
              <w:pPr>
                <w:spacing w:after="160"/>
              </w:pPr>
              <w:r>
                <w:t xml:space="preserve">Skien kommune har gjennom arbeidet med etableringen av Google sitt datasenter på Gromstul i Skien opparbeidet seg en høy kompetanse knyttet til slik datasentervirksomhet. </w:t>
              </w:r>
            </w:p>
            <w:p>
              <w:pPr>
                <w:spacing w:after="160"/>
              </w:pPr>
              <w:r>
                <w:t xml:space="preserve">Kommunens politikere og administrasjon har på en rekke saksområder knyttet spesielt til plan, utbyggingsavtaler, byggesak, kraftspørsmål, medvirkning og forhandlinger fått stor innsikt i en komplisert bransje.</w:t>
              </w:r>
            </w:p>
            <w:p>
              <w:pPr>
                <w:spacing w:after="160"/>
              </w:pPr>
              <w:r>
                <w:t xml:space="preserve">Mange er av den oppfatning at Skien kommune som en «first mover» i forbindelse med etableringen av det som er det første «hyperscale» datasenter i Norge har fått en unik kompetanse. Kommunen får besøk og oppmerksomhet ukentlig fra andre kommuner, organisasjoner og aktører som ønsker råd, veiledning og/eller samarbeid.</w:t>
              </w:r>
            </w:p>
            <w:p>
              <w:pPr>
                <w:spacing w:after="160"/>
              </w:pPr>
              <w:r>
                <w:t xml:space="preserve">Det har i lang tid vært kjent i datasenterbransjen at Skien Tomteselskap AS eier et areal som er svært attraktive for datasentervirksomhet. Det pågår arbeid i forbindelse med et salg av aksjene i Bjorstaddalen Næring AS, og det har også i denne forbindelse blitt reist spørsmål om eiendommen fra flere aktører og samarbeidspartnere.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p>
            <w:p>
              <w:pPr>
                <w:spacing w:after="160"/>
              </w:pPr>
              <w:r>
                <w:rPr>
                  <w:b/>
                </w:rPr>
                <w:t xml:space="preserve">3. Nærmere om gnr. 235, bnr. 57 i Skien.</w:t>
              </w:r>
            </w:p>
            <w:p>
              <w:pPr>
                <w:spacing w:after="160"/>
              </w:pPr>
              <w:r>
                <w:t xml:space="preserve">Arealet er en del av gnr. 235, bnr. 57 i Skien. Arealet utgjør omring 504 daa ved Hustømmeråsen ved Bolvik, av et totalt areal på eiendommen på omkring 3 451 daa.</w:t>
              </w:r>
            </w:p>
            <w:p>
              <w:pPr>
                <w:spacing w:after="160"/>
              </w:pPr>
              <w:r>
                <w:drawing>
                  <wp:inline distT="0" distB="0" distL="0" distR="0">
                    <wp:extent cx="5676900" cy="477202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bfb4aa252dee4873"/>
                            <a:srcRect/>
                            <a:stretch>
                              <a:fillRect/>
                            </a:stretch>
                          </pic:blipFill>
                          <pic:spPr bwMode="auto">
                            <a:xfrm>
                              <a:off x="0" y="0"/>
                              <a:ext cx="5676900" cy="4772025"/>
                            </a:xfrm>
                            <a:prstGeom prst="rect">
                              <a:avLst/>
                            </a:prstGeom>
                          </pic:spPr>
                        </pic:pic>
                      </a:graphicData>
                    </a:graphic>
                  </wp:inline>
                </w:drawing>
              </w:r>
            </w:p>
            <w:p>
              <w:pPr>
                <w:spacing w:after="160"/>
              </w:pPr>
              <w:r>
                <w:rPr>
                  <w:i/>
                  <w:vertAlign w:val="superscript"/>
                </w:rPr>
                <w:t xml:space="preserve">Eiendommen gnr. 235, bnr. 57</w:t>
              </w:r>
            </w:p>
            <w:p>
              <w:pPr>
                <w:spacing w:after="160"/>
              </w:pPr>
              <w:r>
                <w:t xml:space="preserve"> </w:t>
              </w:r>
            </w:p>
            <w:p>
              <w:pPr>
                <w:spacing w:after="160"/>
              </w:pPr>
              <w:r>
                <w:t xml:space="preserve">Arealet er vist i kommuneplanens arealdel som:</w:t>
              </w:r>
              <w:r>
                <w:br/>
              </w:r>
              <w:r>
                <w:rPr>
                  <w:i/>
                </w:rPr>
                <w:t xml:space="preserve">2.1.9 Næringsbebyggelse, nåværende og framtidig Næring omfatter industri-, håndverks- og lagervirksomhet. Kontorarbeidsplasser med støttefunksjon for ovennevnte virksomheter kan tillates. Næringsbebyggelse omfatter ikke handel, forretning og tjenesteyting.</w:t>
              </w:r>
            </w:p>
            <w:p>
              <w:pPr>
                <w:spacing w:after="160"/>
              </w:pPr>
              <w:r>
                <w:rPr>
                  <w:i/>
                </w:rPr>
                <w:t xml:space="preserve">N26 Bolvik:</w:t>
              </w:r>
              <w:r>
                <w:br/>
              </w:r>
              <w:r>
                <w:rPr>
                  <w:i/>
                </w:rPr>
                <w:t xml:space="preserve">Det kreves en felles reguleringsplan for hele N26. Tiltak etter plan- og bygningslovens § 1-6 tillates ikke før det er vedtatt reguleringsplan. Det skal også lages en miljøoppfølgingsplan for området.</w:t>
              </w:r>
            </w:p>
            <w:p>
              <w:pPr>
                <w:spacing w:after="160"/>
              </w:pPr>
              <w:r>
                <w:rPr>
                  <w:i/>
                </w:rPr>
                <w:t xml:space="preserve">Retningslinjer N26 Bolvik:</w:t>
              </w:r>
              <w:r>
                <w:br/>
              </w:r>
              <w:r>
                <w:rPr>
                  <w:i/>
                </w:rPr>
                <w:t xml:space="preserve">Området er tiltenkt kraftkrevende næring og/eller grønn industriutvikling. Ved regulering bør det vurderes å sikre ytterligere bestemmelser som sikrer at arealet blir utviklet til kraftkrevende næring og/eller grønn industriutvikling.</w:t>
              </w:r>
            </w:p>
            <w:p>
              <w:pPr>
                <w:spacing w:after="160"/>
              </w:pPr>
              <w:r>
                <w:drawing>
                  <wp:inline distT="0" distB="0" distL="0" distR="0">
                    <wp:extent cx="5762625" cy="5076825"/>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dd061f7b978b472f"/>
                            <a:srcRect/>
                            <a:stretch>
                              <a:fillRect/>
                            </a:stretch>
                          </pic:blipFill>
                          <pic:spPr bwMode="auto">
                            <a:xfrm>
                              <a:off x="0" y="0"/>
                              <a:ext cx="5762625" cy="5076825"/>
                            </a:xfrm>
                            <a:prstGeom prst="rect">
                              <a:avLst/>
                            </a:prstGeom>
                          </pic:spPr>
                        </pic:pic>
                      </a:graphicData>
                    </a:graphic>
                  </wp:inline>
                </w:drawing>
              </w:r>
            </w:p>
            <w:p>
              <w:pPr>
                <w:spacing w:after="160"/>
              </w:pPr>
              <w:r>
                <w:rPr>
                  <w:i/>
                  <w:vertAlign w:val="superscript"/>
                </w:rPr>
                <w:t xml:space="preserve">Utsnitt fra kommuneplanens arealdel</w:t>
              </w:r>
            </w:p>
            <w:p>
              <w:pPr>
                <w:spacing w:after="160"/>
              </w:pPr>
              <w:r>
                <w:br/>
              </w:r>
              <w:r>
                <w:t xml:space="preserve">Det er på det rene at eiendommen uansett bruk må reguleres. Reguleringsarbeidet vil gjennomføres av kjøper/opsjonshaver.</w:t>
              </w:r>
            </w:p>
            <w:p>
              <w:pPr>
                <w:spacing w:after="160"/>
              </w:pPr>
              <w:r>
                <w:t xml:space="preserve">Det er en rekke forhold ved eiendommen som gjør denne spesielt godt egnet til datasentervirksomhet. Hovedsakelig er det nærheten til Grenland trafostasjon (Statnett 420KV) og Bolvik koblingsstasjon (Lede 132 KV) som gjør tomten unik. Tomten grenser bokstavelig talt til disse stasjonene. Den aktuelle mengde kraft/strøm er viktig, men ikke minst er kapasiteten i transmisjons- og regionalnettet avgjørende. Nærhet til nettet innebærer dessuten at man unngår nye, lokale utbygginger av nett. Dette gjør igjen at man unngår ytterligere tap av naturmangfold og viktige arealer.</w:t>
              </w:r>
            </w:p>
            <w:p>
              <w:pPr>
                <w:spacing w:after="160"/>
              </w:pPr>
              <w:r>
                <w:drawing>
                  <wp:inline distT="0" distB="0" distL="0" distR="0">
                    <wp:extent cx="5762625" cy="3876674"/>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70aa12956d0e4262"/>
                            <a:srcRect/>
                            <a:stretch>
                              <a:fillRect/>
                            </a:stretch>
                          </pic:blipFill>
                          <pic:spPr bwMode="auto">
                            <a:xfrm>
                              <a:off x="0" y="0"/>
                              <a:ext cx="5762625" cy="3876674"/>
                            </a:xfrm>
                            <a:prstGeom prst="rect">
                              <a:avLst/>
                            </a:prstGeom>
                          </pic:spPr>
                        </pic:pic>
                      </a:graphicData>
                    </a:graphic>
                  </wp:inline>
                </w:drawing>
              </w:r>
            </w:p>
            <w:p>
              <w:pPr>
                <w:spacing w:after="160"/>
              </w:pPr>
              <w:r>
                <w:rPr>
                  <w:i/>
                  <w:vertAlign w:val="superscript"/>
                </w:rPr>
                <w:t xml:space="preserve">Grenland Trafostasjon og Bolvik koblingsstasjon</w:t>
              </w:r>
            </w:p>
            <w:p>
              <w:pPr>
                <w:spacing w:after="160"/>
              </w:pPr>
              <w:r>
                <w:t xml:space="preserve"> </w:t>
              </w:r>
            </w:p>
            <w:p>
              <w:pPr>
                <w:spacing w:after="160"/>
              </w:pPr>
              <w:r>
                <w:t xml:space="preserve">Det er også en rekke andre forhold som gjør tomten svært interessant for etableringen av et datasenter:</w:t>
              </w:r>
            </w:p>
            <w:p>
              <w:pPr>
                <w:pStyle w:val="ListParagraph"/>
                <w:numPr>
                  <w:ilvl w:val="0"/>
                  <w:numId w:val="2"/>
                </w:numPr>
                <w:spacing w:after="160"/>
              </w:pPr>
              <w:r>
                <w:t xml:space="preserve">Tomten er stor nok til en betydelig størrelse på et datasenter</w:t>
              </w:r>
            </w:p>
            <w:p>
              <w:pPr>
                <w:pStyle w:val="ListParagraph"/>
                <w:numPr>
                  <w:ilvl w:val="0"/>
                  <w:numId w:val="2"/>
                </w:numPr>
                <w:spacing w:after="160"/>
              </w:pPr>
              <w:r>
                <w:t xml:space="preserve">Det er få naboer i området (lyd, lys, visuelt, trafikk)</w:t>
              </w:r>
            </w:p>
            <w:p>
              <w:pPr>
                <w:pStyle w:val="ListParagraph"/>
                <w:numPr>
                  <w:ilvl w:val="0"/>
                  <w:numId w:val="2"/>
                </w:numPr>
                <w:spacing w:after="160"/>
              </w:pPr>
              <w:r>
                <w:t xml:space="preserve">Det er generelt lite innsyn til området</w:t>
              </w:r>
            </w:p>
            <w:p>
              <w:pPr>
                <w:pStyle w:val="ListParagraph"/>
                <w:numPr>
                  <w:ilvl w:val="0"/>
                  <w:numId w:val="2"/>
                </w:numPr>
                <w:spacing w:after="160"/>
              </w:pPr>
              <w:r>
                <w:t xml:space="preserve">Infrastrukturen er bra. Det som eventuelt skal utvikles løses via utbyggingsavtaler</w:t>
              </w:r>
            </w:p>
            <w:p>
              <w:pPr>
                <w:pStyle w:val="ListParagraph"/>
                <w:numPr>
                  <w:ilvl w:val="1"/>
                  <w:numId w:val="2"/>
                </w:numPr>
                <w:ind w:left="1560"/>
                <w:spacing w:after="160"/>
              </w:pPr>
              <w:r>
                <w:t xml:space="preserve">Vann</w:t>
              </w:r>
            </w:p>
            <w:p>
              <w:pPr>
                <w:pStyle w:val="ListParagraph"/>
                <w:numPr>
                  <w:ilvl w:val="1"/>
                  <w:numId w:val="2"/>
                </w:numPr>
                <w:ind w:left="1560"/>
                <w:spacing w:after="160"/>
              </w:pPr>
              <w:r>
                <w:t xml:space="preserve">Avløp</w:t>
              </w:r>
            </w:p>
            <w:p>
              <w:pPr>
                <w:pStyle w:val="ListParagraph"/>
                <w:numPr>
                  <w:ilvl w:val="1"/>
                  <w:numId w:val="2"/>
                </w:numPr>
                <w:ind w:left="1560"/>
                <w:spacing w:after="160"/>
              </w:pPr>
              <w:r>
                <w:t xml:space="preserve">Fiber</w:t>
              </w:r>
            </w:p>
            <w:p>
              <w:pPr>
                <w:pStyle w:val="ListParagraph"/>
                <w:numPr>
                  <w:ilvl w:val="0"/>
                  <w:numId w:val="2"/>
                </w:numPr>
                <w:spacing w:after="160"/>
              </w:pPr>
              <w:r>
                <w:t xml:space="preserve">Standard på tilførselsveier er bra, blant annet med G/S vei ved Vold/Svanvik</w:t>
              </w:r>
            </w:p>
            <w:p>
              <w:pPr>
                <w:pStyle w:val="ListParagraph"/>
                <w:numPr>
                  <w:ilvl w:val="0"/>
                  <w:numId w:val="2"/>
                </w:numPr>
                <w:spacing w:after="160"/>
              </w:pPr>
              <w:r>
                <w:t xml:space="preserve">Det er bra vei til E 18, spesielt via Bamble/Gassveien. Det kan også skje en utvikling i forbindelse med en ny RV 36 gjennom Porsgrunn.</w:t>
              </w:r>
            </w:p>
            <w:p>
              <w:pPr>
                <w:pStyle w:val="ListParagraph"/>
                <w:numPr>
                  <w:ilvl w:val="0"/>
                  <w:numId w:val="2"/>
                </w:numPr>
                <w:spacing w:after="160"/>
              </w:pPr>
              <w:r>
                <w:t xml:space="preserve">Det er kort vei til både havneterminalen på Vold og Frier Vest</w:t>
              </w:r>
            </w:p>
            <w:p>
              <w:pPr>
                <w:pStyle w:val="ListParagraph"/>
                <w:numPr>
                  <w:ilvl w:val="0"/>
                  <w:numId w:val="2"/>
                </w:numPr>
                <w:spacing w:after="160"/>
              </w:pPr>
              <w:r>
                <w:t xml:space="preserve">Det er ingen kjente turområder av betydning for allmenheten</w:t>
              </w:r>
            </w:p>
            <w:p>
              <w:pPr>
                <w:pStyle w:val="ListParagraph"/>
                <w:numPr>
                  <w:ilvl w:val="0"/>
                  <w:numId w:val="2"/>
                </w:numPr>
                <w:spacing w:after="160"/>
              </w:pPr>
              <w:r>
                <w:t xml:space="preserve">Det er en fordel at Skien tomteselskap eier omkringliggende områder</w:t>
              </w:r>
            </w:p>
            <w:p>
              <w:pPr>
                <w:pStyle w:val="ListParagraph"/>
                <w:numPr>
                  <w:ilvl w:val="0"/>
                  <w:numId w:val="2"/>
                </w:numPr>
                <w:spacing w:after="160"/>
              </w:pPr>
              <w:r>
                <w:t xml:space="preserve">Det kan ligge store synergier i nærheten til Bjorstaddalen Næring AS</w:t>
              </w:r>
            </w:p>
            <w:p>
              <w:pPr>
                <w:pStyle w:val="ListParagraph"/>
                <w:numPr>
                  <w:ilvl w:val="0"/>
                  <w:numId w:val="2"/>
                </w:numPr>
                <w:spacing w:after="160"/>
              </w:pPr>
              <w:r>
                <w:t xml:space="preserve">Det kan ligge store synergier til produksjon av fornybar energi, blant annet solkraft.</w:t>
              </w:r>
            </w:p>
            <w:p>
              <w:pPr>
                <w:spacing w:after="160"/>
              </w:pPr>
              <w:r>
                <w:br/>
              </w:r>
              <w:r>
                <w:t xml:space="preserve">Det er også knyttet noen utfordringer til eiendommen</w:t>
              </w:r>
            </w:p>
            <w:p>
              <w:pPr>
                <w:pStyle w:val="ListParagraph"/>
                <w:numPr>
                  <w:ilvl w:val="0"/>
                  <w:numId w:val="3"/>
                </w:numPr>
                <w:spacing w:after="160"/>
              </w:pPr>
              <w:r>
                <w:t xml:space="preserve">Det foreligger registrerte forekomster av verneverdig natur, herunder hule eiketrær</w:t>
              </w:r>
            </w:p>
            <w:p>
              <w:pPr>
                <w:pStyle w:val="ListParagraph"/>
                <w:numPr>
                  <w:ilvl w:val="0"/>
                  <w:numId w:val="3"/>
                </w:numPr>
                <w:spacing w:after="160"/>
              </w:pPr>
              <w:r>
                <w:t xml:space="preserve">Eiendommen har en noen krevende topografi med høydeforskjeller på omkring 65 meter og et sannsynlig behov for terrenginngrep</w:t>
              </w:r>
            </w:p>
            <w:p>
              <w:pPr>
                <w:pStyle w:val="ListParagraph"/>
                <w:numPr>
                  <w:ilvl w:val="0"/>
                  <w:numId w:val="3"/>
                </w:numPr>
                <w:spacing w:after="160"/>
              </w:pPr>
              <w:r>
                <w:t xml:space="preserve">Enhver utvikling av næring utenfor bybåndet kan medføre en økning i trafikk</w:t>
              </w:r>
            </w:p>
            <w:p>
              <w:pPr>
                <w:spacing w:after="160"/>
              </w:pPr>
              <w:r>
                <w:rPr>
                  <w:b/>
                </w:rPr>
                <w:t xml:space="preserve"> </w:t>
              </w:r>
            </w:p>
            <w:p>
              <w:pPr>
                <w:spacing w:after="160"/>
              </w:pPr>
              <w:r>
                <w:rPr>
                  <w:b/>
                </w:rPr>
                <w:t xml:space="preserve">4. Endringer i reglene for modenhetsvurderinger</w:t>
              </w:r>
            </w:p>
            <w:p>
              <w:pPr>
                <w:spacing w:after="160"/>
              </w:pPr>
              <w:r>
                <w:t xml:space="preserve">Alle som forespør ny eller utvidet tilknytning til nettet over 1 MW må gjennom en modenhetsvurdering for å kunne reservere nettkapasitet eller stille seg i kapasitetskø. Modenhetsvurderinger skal sikre at realiserbare prosjekter får reservere nettkapasitet, slik at de ikke skaper markedsbarrierer for andre prosjekter og at nettkapasiteten utnyttes rasjonelt.</w:t>
              </w:r>
            </w:p>
            <w:p>
              <w:pPr>
                <w:spacing w:after="160"/>
              </w:pPr>
              <w:r>
                <w:t xml:space="preserve">Det er stor variasjon i typen prosjekter som skal modenhetsvurderes. Nettselskapets modenhetsvurdering må være en helhetsvurdering av informasjonen som sendes inn, hvor kriteriene vurderes både enkeltvis og i sammenheng med hverandre. Noen kriterier kan veie tyngre for enkelte typer prosjekt enn for andre, og svakheter under ett kriterie kan veies opp av grundige svar i andre kriterier. Dette vil variere ut ifra hva som er viktig med tanke på prosjektets natur, og hvor nettselskapet vurderer at det er viktig med ekstra informasjon med tanke på fremdriftsoppfølging.  </w:t>
              </w:r>
            </w:p>
            <w:p>
              <w:pPr>
                <w:spacing w:after="160"/>
              </w:pPr>
              <w:r>
                <w:t xml:space="preserve">Selv om et prosjekt har svart ut alle minimumskrav, er det ikke ensbetydende med at prosjektet er modent. Det må foretas en konkret helhetsvurdering. Nettselskapets saksbehandlere må ha rom til å utøve skjønn ut ifra prosjektets størrelse, kompleksitet og realisme, men like kunder skal behandles likt. Konsekvensene ved å ha reservert "feil" øker for større prosjekter, bl.a. som en større markedsbarriere for andre. </w:t>
              </w:r>
            </w:p>
            <w:p>
              <w:pPr>
                <w:spacing w:after="160"/>
              </w:pPr>
              <w:r>
                <w:t xml:space="preserve">Statnett mottar mange forespørsler om tilknytning til strømnettet. For at nye kunder skal få tilknytning, må det være driftsmessig forsvarlig. Per første kvartal 2026 er det reservert 7821 MW forbruk i dagens og planlagt nett, og flere kunder står i kø. Statnett jobber for å kunne gi markedsadgang til flere, og gjør flere tiltak for å aktivt forvalte den tilgjengelige kapasiteten.</w:t>
              </w:r>
            </w:p>
            <w:p>
              <w:pPr>
                <w:spacing w:after="160"/>
              </w:pPr>
              <w:r>
                <w:t xml:space="preserve">Å stille krav til modenhet og fremdrift er et viktig virkemiddel for å sikre at kapasiteten i kraftnettet blir brukt. For å få og beholde reservasjon eller plass i kapasitetskø må kundeprosjekter oppfylle krav til modenhet og deretter fremdrift. Kundeprosjekter som ikke har tilstrekkelig progresjon, mister sin reservasjon og kapasitet frigjøres til andre modne kundeprosjekter.</w:t>
              </w:r>
            </w:p>
            <w:p>
              <w:pPr>
                <w:spacing w:after="160"/>
              </w:pPr>
              <w:r>
                <w:t xml:space="preserve">For å sikre at kapasitet prioriteres til kundeprosjekter med høy gjennomføringsevne arbeider Statnett med å stramme inn og tydeliggjøre kravene til modenhet og oppfølging av fremdrift i prosjektene. Statnett skjerper nå modenhetskravene for forbruksprosjekter større eller lik 100 MW. Endringene ble kjent i et dialogmøte med Statnett 7. mai 2026. Det er ganske sannsynlig at disse endringene trer i kraft allerede fra 1. juli 2026.</w:t>
              </w:r>
            </w:p>
            <w:p>
              <w:pPr>
                <w:spacing w:after="160"/>
              </w:pPr>
              <w:r>
                <w:rPr>
                  <w:i/>
                </w:rPr>
                <w:t xml:space="preserve">Det som er den største endringen er kravet om at tomten til et datasenter nå må være ferdig regulert.</w:t>
              </w:r>
            </w:p>
            <w:p>
              <w:pPr>
                <w:spacing w:after="160"/>
              </w:pPr>
              <w:r>
                <w:t xml:space="preserve">Frem til og med 30 juni 2026 er de fortsatt gjeldende kravene at et prosjekt kan vurderes som modent dersom en søker har en avtale med en grunneier og ellers med en viss sannsynlighet viser at det er mulig å regulere området.</w:t>
              </w:r>
            </w:p>
            <w:p>
              <w:pPr>
                <w:spacing w:after="160"/>
              </w:pPr>
              <w:r>
                <w:t xml:space="preserve">Statnett foreslår følgende innstramninger og justeringer i modenhetskriteriene:</w:t>
              </w:r>
            </w:p>
            <w:p>
              <w:pPr>
                <w:spacing w:after="160"/>
              </w:pPr>
              <w:r>
                <w:drawing>
                  <wp:inline distT="0" distB="0" distL="0" distR="0">
                    <wp:extent cx="5762625" cy="3514725"/>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d954857635f84012"/>
                            <a:srcRect/>
                            <a:stretch>
                              <a:fillRect/>
                            </a:stretch>
                          </pic:blipFill>
                          <pic:spPr bwMode="auto">
                            <a:xfrm>
                              <a:off x="0" y="0"/>
                              <a:ext cx="5762625" cy="3514725"/>
                            </a:xfrm>
                            <a:prstGeom prst="rect">
                              <a:avLst/>
                            </a:prstGeom>
                          </pic:spPr>
                        </pic:pic>
                      </a:graphicData>
                    </a:graphic>
                  </wp:inline>
                </w:drawing>
              </w:r>
            </w:p>
            <w:p>
              <w:pPr>
                <w:spacing w:after="160"/>
              </w:pPr>
              <w:r>
                <w:t xml:space="preserve"> </w:t>
              </w:r>
            </w:p>
            <w:p>
              <w:pPr>
                <w:spacing w:after="160"/>
              </w:pPr>
              <w:r>
                <w:rPr>
                  <w:b/>
                </w:rPr>
                <w:t xml:space="preserve">5. Opsjonsavtale</w:t>
              </w:r>
            </w:p>
            <w:p>
              <w:pPr>
                <w:spacing w:after="160"/>
              </w:pPr>
              <w:r>
                <w:t xml:space="preserve">Det er neppe aktuelt å selge tomten direkte nå. Bakgrunnen er hovedsakelig at verdien er lav siden den verken er regulert eller har kraft.</w:t>
              </w:r>
            </w:p>
            <w:p>
              <w:pPr>
                <w:spacing w:after="160"/>
              </w:pPr>
              <w:r>
                <w:t xml:space="preserve">Begrepet «Powered land» benyttes ofte i tilknytning til datasenterbransjen. Dette begrepet innebærer i korte trekk at en tomt har </w:t>
              </w:r>
              <w:r>
                <w:rPr>
                  <w:i/>
                </w:rPr>
                <w:t xml:space="preserve">strøm</w:t>
              </w:r>
              <w:r>
                <w:t xml:space="preserve"> og er </w:t>
              </w:r>
              <w:r>
                <w:rPr>
                  <w:i/>
                </w:rPr>
                <w:t xml:space="preserve">regulert</w:t>
              </w:r>
              <w:r>
                <w:t xml:space="preserve">. Den er da </w:t>
              </w:r>
              <w:r>
                <w:rPr>
                  <w:i/>
                </w:rPr>
                <w:t xml:space="preserve">salgbar</w:t>
              </w:r>
              <w:r>
                <w:t xml:space="preserve"> nettopp til den </w:t>
              </w:r>
              <w:r>
                <w:rPr>
                  <w:i/>
                </w:rPr>
                <w:t xml:space="preserve">aktuelle virksomhet</w:t>
              </w:r>
              <w:r>
                <w:t xml:space="preserve">.</w:t>
              </w:r>
            </w:p>
            <w:p>
              <w:pPr>
                <w:spacing w:after="160"/>
              </w:pPr>
              <w:r>
                <w:t xml:space="preserve">Dersom det benyttes en opsjonsavtale, vil Skien Tomteselskap/Skien kommune oppnå en avtalt markedspris for «powered land» en gang i fremtiden.</w:t>
              </w:r>
            </w:p>
            <w:p>
              <w:pPr>
                <w:spacing w:after="160"/>
              </w:pPr>
              <w:r>
                <w:t xml:space="preserve">Selv om det er kjøper/opsjonshaver som utfører og bekoster reguleringsarbeidet, så er det selger som reelt har risikoen for at tomten kan utnyttes. Dette fremstår som rettferdig:</w:t>
              </w:r>
            </w:p>
            <w:p>
              <w:pPr>
                <w:pStyle w:val="ListParagraph"/>
                <w:numPr>
                  <w:ilvl w:val="0"/>
                  <w:numId w:val="4"/>
                </w:numPr>
                <w:spacing w:after="160"/>
              </w:pPr>
              <w:r>
                <w:t xml:space="preserve">Om tomten kan benyttes som forutsatt så har den full verdi for kjøper</w:t>
              </w:r>
            </w:p>
            <w:p>
              <w:pPr>
                <w:pStyle w:val="ListParagraph"/>
                <w:numPr>
                  <w:ilvl w:val="0"/>
                  <w:numId w:val="4"/>
                </w:numPr>
                <w:spacing w:after="160"/>
              </w:pPr>
              <w:r>
                <w:t xml:space="preserve">Om tomten ikke kan benyttes som forutsatt så har den ingen verdi for kjøper</w:t>
              </w:r>
            </w:p>
            <w:p>
              <w:pPr>
                <w:spacing w:after="160"/>
              </w:pPr>
              <w:r>
                <w:t xml:space="preserve">Det kan legges inn forskjellige og ønskede forutsetninger i opsjonsavtalen som vil være bindende i en fremtidig kjøpekontrakt.</w:t>
              </w:r>
            </w:p>
            <w:p>
              <w:pPr>
                <w:spacing w:after="160"/>
              </w:pPr>
              <w:r>
                <w:t xml:space="preserve"> </w:t>
              </w:r>
            </w:p>
            <w:p>
              <w:pPr>
                <w:spacing w:after="160"/>
              </w:pPr>
              <w:r>
                <w:rPr>
                  <w:b/>
                </w:rPr>
                <w:t xml:space="preserve">6. Verdi/pris</w:t>
              </w:r>
            </w:p>
            <w:p>
              <w:pPr>
                <w:spacing w:after="160"/>
              </w:pPr>
              <w:r>
                <w:t xml:space="preserve">Det er mange måter å vurdere en tomteverdi på. En takst kan ikke fange opp markedsinteressen nøyaktig, og det finnes neppe mange relevante transaksjoner som kan benyttes til sammenlikning. Alle slike avtaler er konfidensielle, samtidig med at prisene har økt betydelig i den senere tid.</w:t>
              </w:r>
            </w:p>
            <w:p>
              <w:pPr>
                <w:spacing w:after="160"/>
              </w:pPr>
              <w:r>
                <w:t xml:space="preserve">I dette tilfellet er det utvilsomt at det utelukkende er markedets vurdering som angir verdien. Det er ikke mulig innen et kort tidsrom å legge eiendommen ut på det åpne markedet via megler.</w:t>
              </w:r>
            </w:p>
            <w:p>
              <w:pPr>
                <w:spacing w:after="160"/>
              </w:pPr>
              <w:r>
                <w:t xml:space="preserve">Det er kontakt med flere aktører nå, og det er realistisk at det maksimalt kommuniseres med 6 – 8 aktører innen en opsjonsavtale er inngått. Det må da antas at det er oppnådd en så god pris som det er praktisk mulig å forhandle frem innen få uker.</w:t>
              </w:r>
            </w:p>
            <w:p>
              <w:pPr>
                <w:spacing w:after="160"/>
              </w:pPr>
              <w:r>
                <w:t xml:space="preserve">Prisen på en slik tomt er i prinsippet avhengig av mengden strøm som aktøren totalt blir tildelt. Basert på kontakten med interessenter kan vi anta at verdien på tomten er minst NOK 1 000 000,- pr MW installert effekt.</w:t>
              </w:r>
            </w:p>
            <w:p>
              <w:pPr>
                <w:spacing w:after="160"/>
              </w:pPr>
              <w:r>
                <w:t xml:space="preserve">Mengden strøm er avhengig av en rekke faktorer, både knyttet til aktørens egen bebyggelse/konsepter, nettkapasitet og mengden produsert og tilgjengelig kraft. Det er sannsynlig at en aktør vil søke om en viss mengde strøm innledningsvis. I tråd med utvikling i eget prosjekt og mulighetene for levering av strøm og nett vil det etter hvert søkes om mer. Dette vil medføre en forskyvning av inntektene for tomtesalget over flere år. Det vil også ha betydning om det søkes til Lede eller direkte til Statnett.</w:t>
              </w:r>
            </w:p>
            <w:p>
              <w:pPr>
                <w:spacing w:after="160"/>
              </w:pPr>
              <w:r>
                <w:t xml:space="preserve">Det er utvilsomt at det pr i dag ikke finnes andre måter å anvende arealet på som er i nærheten av å synliggjøre slike tomteverdier.</w:t>
              </w:r>
            </w:p>
            <w:p>
              <w:pPr>
                <w:spacing w:after="160"/>
              </w:pPr>
              <w:r>
                <w:rPr>
                  <w:b/>
                </w:rPr>
                <w:t xml:space="preserve"> </w:t>
              </w:r>
            </w:p>
            <w:p>
              <w:pPr>
                <w:spacing w:after="160"/>
              </w:pPr>
              <w:r>
                <w:rPr>
                  <w:b/>
                </w:rPr>
                <w:t xml:space="preserve">7. Salgsprosess</w:t>
              </w:r>
            </w:p>
            <w:p>
              <w:pPr>
                <w:spacing w:after="160"/>
              </w:pPr>
              <w:r>
                <w:t xml:space="preserve">Det er på det rene at en prosess knyttet til en opsjonsavtale vil være krevende, men svært kort. </w:t>
              </w:r>
            </w:p>
            <w:p>
              <w:pPr>
                <w:spacing w:after="160"/>
              </w:pPr>
              <w:r>
                <w:t xml:space="preserve">Det vil være nødvendig å innhente juridisk bistand utover Skien kommunes egen kompetanse. Det er mulig at kostnadene til dette vil dekkes av en eventuell opsjonspremie. Kjøper/opsjonshaver vil gjennomføre en gjennomgang av eiendommen/due diligence. Skien kommune/Skien Tomteselskap vil bistå med dette.</w:t>
              </w:r>
            </w:p>
            <w:p>
              <w:pPr>
                <w:spacing w:after="160"/>
              </w:pPr>
              <w:r>
                <w:t xml:space="preserve">Det antas at det ikke er mange relevante opplysninger som skal fremlegges, utover offentlig tilgjengelige opplysninger spesielt knyttet til arbeidet med kommuneplanen.</w:t>
              </w:r>
            </w:p>
            <w:p>
              <w:pPr>
                <w:spacing w:after="160"/>
              </w:pPr>
              <w:r>
                <w:t xml:space="preserve">Mulig tidslinje:</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2260" w:type="auto"/>
                    <w:tcMar>
                      <w:left w:w="108" w:type="dxa"/>
                      <w:right w:w="108" w:type="dxa"/>
                    </w:tcMar>
                    <w:vAlign w:val="top"/>
                  </w:tcPr>
                  <w:p>
                    <w:pPr>
                      <w:spacing w:after="160"/>
                    </w:pPr>
                    <w:r>
                      <w:rPr>
                        <w:b/>
                      </w:rPr>
                      <w:t xml:space="preserve">Tid/periode</w:t>
                    </w:r>
                  </w:p>
                </w:tc>
                <w:tc>
                  <w:tcPr>
                    <w:tcW w:w="678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Handling</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4. juni 2026</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Behandling i Bystyret</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25. juni 2026</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Forhandlinger ferdig, inngått opsjonsavtale</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30. juni 2026</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Innlevert søknad om tildeling av strøm</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1. september 2026</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Vurdert som modent prosjekt og plassert i kø</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Høst 2026</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Oppstart av reguleringsarbeid</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Høst 2028</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Godkjent reguleringsplan</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2028 - 29</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Tildeling av strøm</w:t>
                    </w:r>
                  </w:p>
                </w:tc>
              </w:tr>
              <w:tr>
                <w:trPr>
                  <w:tblCellSpacing w:w="0" w:type="dxa"/>
                </w:trPr>
                <w:tc>
                  <w:tcPr>
                    <w:tcW w:w="22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2030 - 31</w:t>
                    </w:r>
                  </w:p>
                </w:tc>
                <w:tc>
                  <w:tcPr>
                    <w:tcW w:w="67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Mulig oppstart</w:t>
                    </w:r>
                  </w:p>
                </w:tc>
              </w:tr>
            </w:tbl>
            <w:p>
              <w:pPr>
                <w:spacing w:after="160"/>
              </w:pPr>
              <w:r>
                <w:rPr>
                  <w:b/>
                </w:rPr>
                <w:t xml:space="preserve"> </w:t>
              </w:r>
            </w:p>
            <w:p>
              <w:pPr>
                <w:spacing w:after="160"/>
              </w:pPr>
              <w:r>
                <w:rPr>
                  <w:b/>
                </w:rPr>
                <w:t xml:space="preserve">8. 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bl>
            <w:p>
              <w:pPr>
                <w:spacing w:after="160"/>
              </w:pPr>
              <w:r>
                <w:br/>
              </w:r>
              <w:r>
                <w:rPr>
                  <w:b/>
                </w:rPr>
                <w:t xml:space="preserve">9. Kommunedirektørens vurdering og konklusjon</w:t>
              </w:r>
            </w:p>
            <w:p>
              <w:pPr>
                <w:spacing w:after="160"/>
              </w:pPr>
              <w:r>
                <w:t xml:space="preserve">Det er på det rene at den aktuelle eiendom har en betydelig verdi. Verdien er knyttet til etablering av datasenter, og det er ikke sannsynlig at en annen bruk eller regulering vi innebære en tilsvarende økonomisk verdi.</w:t>
              </w:r>
            </w:p>
            <w:p>
              <w:pPr>
                <w:spacing w:after="160"/>
              </w:pPr>
              <w:r>
                <w:t xml:space="preserve">Det pågår en debatt i samfunnet knyttet til både behovet for datasenter generelt og datasenter i Norge spesielt. Særlig er diskusjonene knyttet til om det er nok kraft til disse virksomhetene og om aktivitetene innebærer en for stor bruk av areal.</w:t>
              </w:r>
            </w:p>
            <w:p>
              <w:pPr>
                <w:spacing w:after="160"/>
              </w:pPr>
              <w:r>
                <w:t xml:space="preserve">Regjeringen har i den nasjonale datasenterstrategien lagt stor vekt på en rekke viktige interesser knyttet til datasenter, men det er et velkjent dilemma at den Norske datasenterstrategien enkelte ganger kan komme i motstrid med andre, statlige føringer, f.eks innen arealbruk.</w:t>
              </w:r>
            </w:p>
            <w:p>
              <w:pPr>
                <w:spacing w:after="160"/>
              </w:pPr>
              <w:r>
                <w:t xml:space="preserve">Det er utvilsomt at etablering av datasenter i Skien kommune passer godt inn i Norges vedtatte, nasjonale datasenterstrategi:</w:t>
              </w:r>
            </w:p>
            <w:p>
              <w:pPr>
                <w:spacing w:after="160"/>
              </w:pPr>
              <w:r>
                <w:drawing>
                  <wp:inline distT="0" distB="0" distL="0" distR="0">
                    <wp:extent cx="5600700" cy="6143625"/>
                    <wp:effectExtent l="19050" t="0" r="0" b="0"/>
                    <wp:docPr id="6"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7ca0db451c744b47"/>
                            <a:srcRect/>
                            <a:stretch>
                              <a:fillRect/>
                            </a:stretch>
                          </pic:blipFill>
                          <pic:spPr bwMode="auto">
                            <a:xfrm>
                              <a:off x="0" y="0"/>
                              <a:ext cx="5600700" cy="6143625"/>
                            </a:xfrm>
                            <a:prstGeom prst="rect">
                              <a:avLst/>
                            </a:prstGeom>
                          </pic:spPr>
                        </pic:pic>
                      </a:graphicData>
                    </a:graphic>
                  </wp:inline>
                </w:drawing>
              </w:r>
            </w:p>
            <w:p>
              <w:pPr>
                <w:spacing w:after="160"/>
              </w:pPr>
              <w:r>
                <w:rPr>
                  <w:i/>
                  <w:vertAlign w:val="superscript"/>
                </w:rPr>
                <w:t xml:space="preserve">Innledning, Datasenternæringa– ei berekraftig framtidsnæring for det digitale Noreg</w:t>
              </w:r>
            </w:p>
            <w:p>
              <w:pPr>
                <w:spacing w:after="160"/>
              </w:pPr>
              <w:r>
                <w:rPr>
                  <w:i/>
                </w:rPr>
                <w:t xml:space="preserve"> </w:t>
              </w:r>
              <w:r>
                <w:t xml:space="preserve">Det er et fokus i alle norske kommuner om den lokale kraftproduksjon er større eller mindre enn eget forbruk. Det vil sannsynligvis være slik at dette svært sjeldent vil balansere. Noen områder er spesielt godt egnet til kraftproduksjon mens andre områder er bedre egnet til industri og kraftkrevende og arbeidsintensive virksomheter.</w:t>
              </w:r>
            </w:p>
            <w:p>
              <w:pPr>
                <w:spacing w:after="160"/>
              </w:pPr>
              <w:r>
                <w:t xml:space="preserve">Situasjonen er nå slik at det uansett lokal kraftproduksjon bygges datasenter i hele Norge, også innen prisområde NO2. Den kraft som ikke benyttes i Skien, vil benyttes andre steder innen et større geografisk område. Utfordringer knyttet til kraft er ganske like for Grenland uansett hvor datasenter bygges i Sør-Norge.</w:t>
              </w:r>
            </w:p>
            <w:p>
              <w:pPr>
                <w:spacing w:after="160"/>
              </w:pPr>
              <w:r>
                <w:t xml:space="preserve">Kommunedirektøren antar at fordelingen av kraft og nett vil avgjøres av kompetente myndigheter. Det er selvsagt aktuelt for Skien, som for de fleste andre kommuner, å arbeide for utbygging av mer kraft også her. Det pågår arbeid i forbindelse med planer om å øke kraftproduksjonen i regionen.</w:t>
              </w:r>
            </w:p>
            <w:p>
              <w:pPr>
                <w:spacing w:after="160"/>
              </w:pPr>
              <w:r>
                <w:t xml:space="preserve">Kommunedirektøren vurderer det slik at den økonomiske verdien av et potensielt salg er meget stor.</w:t>
              </w:r>
            </w:p>
            <w:p>
              <w:pPr>
                <w:spacing w:after="160"/>
              </w:pPr>
              <w:r>
                <w:t xml:space="preserve">Det er nå vel kjent at ringvirkningene av både bygging og drift av et datasenter er betydelig. Det er sannsynlig med investeringer på mellom 25 og 40 milliarder NOK. Hele vår region er kjent med slik utbygging, og det er ganske sikkert at man nå er bedre rustet og mer erfarne enn noen gang til å utnytte slike aktiviteter. En langvarig utbygging av datasentre vil skape en langvarig aktivitet i bygge- og leverandørbransjen.</w:t>
              </w:r>
            </w:p>
            <w:p>
              <w:pPr>
                <w:spacing w:after="160"/>
              </w:pPr>
              <w:r>
                <w:t xml:space="preserve">Det er igangsatt flere forskningsprosjekter knyttet til denne utviklingen, og det er sannsynlig at spesielt USN skal ha en betydelig rolle. Skien kommune deltar i flere prosjekter, blant annet knyttet til bruk av overskuddsvarme.</w:t>
              </w:r>
            </w:p>
            <w:p>
              <w:pPr>
                <w:spacing w:after="160"/>
              </w:pPr>
              <w:r>
                <w:t xml:space="preserve">Kommunedirektøren er av den oppfatning at etablering av et datasenter ved siden av Bjorstaddalen Næring AS vil ha en meget positiv betydning for den salgsprosess som er i igangsatt for dette selskapet.</w:t>
              </w:r>
            </w:p>
            <w:p>
              <w:pPr>
                <w:spacing w:after="160"/>
              </w:pPr>
              <w:r>
                <w:t xml:space="preserve">Det er grunn til å anta at det i området Bolvik/Bjorstaddalen er meget gode forutsetninger for å etablere sirkulære virksomheter. Bruk av overskuddsvarme blir viktig i fremtiden, både for datasentre og andre kraftkrevende virksomheter. Det er sannsynlig at det vil komme nye nasjonale føringer blant annet for bruk av overskuddsvarme, som alle aktører selvsagt vil måtte forholde seg til.</w:t>
              </w:r>
            </w:p>
            <w:p>
              <w:pPr>
                <w:spacing w:after="160"/>
              </w:pPr>
              <w:r>
                <w:t xml:space="preserve">De lokale utfordringene for oss er sannsynligvis mest knyttet til tap av natur. Dette må håndteres på best mulig måte gjennom reguleringsprosessen. Risikoen knyttet til en opsjonsavtale er hovedsakelig knyttet til at prosjektet ikke får strøm og/eller ikke blir regulert til formålet. Det antas at svaret på disse viktige spørsmålene kommer uavhengig av hvilken aktør som man velger å inngå et samarbeid med. Det forutsettes at den eller de aktører som velges som kjøpere/opsjonshavere er betydelige og seriøse aktører i markedet.</w:t>
              </w:r>
            </w:p>
            <w:p>
              <w:pPr>
                <w:spacing w:after="160"/>
              </w:pPr>
              <w:r>
                <w:t xml:space="preserve">Det er sannsynlig at bare noen av de mange datasentre som nå er omsøkt faktisk blir realisert. Det er da grunn til å tro at nettopp den aktuelle eiendommen på Bolvik er av en slik karakter at den oppfyller de krav som må stilles til de datasentre som faktisk skal bygges i Norge i fremtiden.</w:t>
              </w:r>
            </w:p>
            <w:p>
              <w:pPr>
                <w:spacing w:after="160"/>
              </w:pPr>
              <w:r>
                <w:t xml:space="preserve">Det er ikke slik at mulighetene er stengt for alltid om man ikke rekker denne fristen, men det er sannsynlig at det hele vil ta betydelig lenger tid. Det er også noe usikkert hvordan markedet ser ut om 5 -10 år.</w:t>
              </w:r>
            </w:p>
            <w:p>
              <w:pPr>
                <w:spacing w:after="160"/>
              </w:pPr>
              <w:r>
                <w:t xml:space="preserve">Det er da et alternativ at Skien Tomteselskap selv regulerer tomten. Tomten har en så sentral plassering at det er svært mye mulig at den vil være svært aktuell også i fremtiden. Denne løsningen vil påføre Skien Tomteselskap betydelige kostnader til prosessen.</w:t>
              </w:r>
            </w:p>
            <w:p>
              <w:pPr>
                <w:spacing w:after="160"/>
              </w:pPr>
              <w:r>
                <w:t xml:space="preserve">Kommunedirektøren mener etter dette at Skien kommune bør gripe de muligheter som er i markedet akkurat nå.</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Norsk datasenterstrategi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Innskjerping, modenhetskrav Statnett</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b7aa427312644d2e" /><Relationship Type="http://schemas.openxmlformats.org/officeDocument/2006/relationships/image" Target="/media/image.jpg" Id="Rbfb4aa252dee4873" /><Relationship Type="http://schemas.openxmlformats.org/officeDocument/2006/relationships/image" Target="/media/image2.jpg" Id="Rdd061f7b978b472f" /><Relationship Type="http://schemas.openxmlformats.org/officeDocument/2006/relationships/image" Target="/media/image3.jpg" Id="R70aa12956d0e4262" /><Relationship Type="http://schemas.openxmlformats.org/officeDocument/2006/relationships/image" Target="/media/image4.jpg" Id="Rd954857635f84012" /><Relationship Type="http://schemas.openxmlformats.org/officeDocument/2006/relationships/image" Target="/media/image5.jpg" Id="R7ca0db451c744b4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Mulig salg av tomt</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