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26/12665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Eva Wærstad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21.05.2026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30/26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09.06.2026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Budsjettreguleringer juni</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I tråd med saksframstilingen og tabell i saken (oppsummert tabell):</w:t>
              </w:r>
            </w:p>
            <w:p>
              <w:pPr>
                <w:pStyle w:val="ListParagraph"/>
                <w:numPr>
                  <w:ilvl w:val="0"/>
                  <w:numId w:val="1"/>
                </w:numPr>
                <w:spacing w:after="160"/>
              </w:pPr>
              <w:r>
                <w:t xml:space="preserve">Budsjetterte frie inntekter økes med  21,359 mnok herav rammetilskudd med 10,944 mnok, skatteinntekter og inntektsutjevning med 10,415 mnok, fordelt på hhv 9,228 mnok og 1,187 mnok. </w:t>
              </w:r>
            </w:p>
            <w:p>
              <w:pPr>
                <w:pStyle w:val="ListParagraph"/>
                <w:numPr>
                  <w:ilvl w:val="0"/>
                  <w:numId w:val="1"/>
                </w:numPr>
                <w:spacing w:after="160"/>
              </w:pPr>
              <w:r>
                <w:t xml:space="preserve">Økt lønnsoppgjør i kommunal sektor medfører høyere lønnskostnader. Avsetning til lønnsoppgjørs økes med 16,838 mnok.</w:t>
              </w:r>
            </w:p>
            <w:p>
              <w:pPr>
                <w:pStyle w:val="ListParagraph"/>
                <w:numPr>
                  <w:ilvl w:val="0"/>
                  <w:numId w:val="1"/>
                </w:numPr>
                <w:spacing w:after="160"/>
              </w:pPr>
              <w:r>
                <w:t xml:space="preserve">Endringer i pensjonskostnader (premieavvik og amortisering) innarbeides i budsjettet. Samlet effekt anslås til  8,0 mnok.</w:t>
              </w:r>
            </w:p>
            <w:p>
              <w:pPr>
                <w:pStyle w:val="ListParagraph"/>
                <w:numPr>
                  <w:ilvl w:val="0"/>
                  <w:numId w:val="1"/>
                </w:numPr>
                <w:spacing w:after="160"/>
              </w:pPr>
              <w:r>
                <w:t xml:space="preserve">Budsjettrammene økes for flere tjenesteområder:</w:t>
              </w:r>
            </w:p>
            <w:p>
              <w:pPr>
                <w:pStyle w:val="ListParagraph"/>
                <w:numPr>
                  <w:ilvl w:val="1"/>
                  <w:numId w:val="1"/>
                </w:numPr>
                <w:ind w:left="1560"/>
                <w:spacing w:after="160"/>
              </w:pPr>
              <w:r>
                <w:t xml:space="preserve">Oppvekst: +8,682 mnok</w:t>
              </w:r>
            </w:p>
            <w:p>
              <w:pPr>
                <w:pStyle w:val="ListParagraph"/>
                <w:numPr>
                  <w:ilvl w:val="1"/>
                  <w:numId w:val="1"/>
                </w:numPr>
                <w:ind w:left="1560"/>
                <w:spacing w:after="160"/>
              </w:pPr>
              <w:r>
                <w:t xml:space="preserve">Helse og mestring: +3,344 mnok</w:t>
              </w:r>
            </w:p>
            <w:p>
              <w:pPr>
                <w:pStyle w:val="ListParagraph"/>
                <w:numPr>
                  <w:ilvl w:val="1"/>
                  <w:numId w:val="1"/>
                </w:numPr>
                <w:ind w:left="1560"/>
                <w:spacing w:after="160"/>
              </w:pPr>
              <w:r>
                <w:t xml:space="preserve">NAV: +0,495 mnok</w:t>
              </w:r>
            </w:p>
            <w:p>
              <w:pPr>
                <w:pStyle w:val="ListParagraph"/>
                <w:numPr>
                  <w:ilvl w:val="0"/>
                  <w:numId w:val="1"/>
                </w:numPr>
                <w:spacing w:after="160"/>
              </w:pPr>
              <w:r>
                <w:t xml:space="preserve">Det gjennomføres en budsjettjustering mellom tjenesteområdene Helse og mestring og OU knyttet til miljørettet helsevern. Dette innebærer en overføring på 2,108 mnok fra Helse og mestring til OU.</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Skien kommunes budsjett skal være realistisk, jf. kommuneloven § 14-4. Dette innebærer at budsjettet må justeres i takt med ny informasjon og endrede forutsetninger. </w:t>
              </w:r>
            </w:p>
            <w:p>
              <w:pPr>
                <w:spacing w:after="160"/>
              </w:pPr>
              <w:r>
                <w:t xml:space="preserve"> Endelig saldering av statsbudsjettet for 2026, endringer som følge av forslag til revidert nasjonalbudsjett for 2026, samt behov for omdisponering av budsjettmidler mellom tjenesteområder og investeringsprosjekter, danner grunnlaget for at det nå legges fram sak om budsjettregulering av vedtatt budsjett for 2026.</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Årsbudsjettet for 2026 for Skien kommune ble utarbeidet høsten 2025 og vedtatt i 11. desember 2025. Endelig vedtatt statsbudsjett medførte imidlertid enkelte endringer i kommunens inntektsrammer som ikke ble innarbeidet i det vedtatte budsjettet til kommunen knyttet til styringstrykk dvs at øremerkede tilskudd inngår i rammetilskuddet.</w:t>
              </w:r>
            </w:p>
            <w:p>
              <w:pPr>
                <w:spacing w:after="160"/>
              </w:pPr>
              <w:r>
                <w:t xml:space="preserve">Videre har endelig innbyggertall per 1. januar 2026, sammenlignet med forutsetningene i budsjettet (innbyggertall 1. juli 2025 ble benyttet), betydning for skatteinntekter og inntektsutjevning.</w:t>
              </w:r>
            </w:p>
            <w:p>
              <w:pPr>
                <w:spacing w:after="160"/>
              </w:pPr>
              <w:r>
                <w:t xml:space="preserve">Foreløpig revidert nasjonalbudsjett innebærer også enkelte justeringer som må innarbeides knyttet til anslag for skattevekst som følge av økningen i pris - og lønnsvekst. </w:t>
              </w:r>
            </w:p>
            <w:p>
              <w:pPr>
                <w:spacing w:after="160"/>
              </w:pPr>
              <w:r>
                <w:t xml:space="preserve">I tillegg er det behov for enkelte øvrige budsjettmessige tilpasninger. </w:t>
              </w:r>
            </w:p>
            <w:p>
              <w:pPr>
                <w:spacing w:after="160"/>
              </w:pPr>
              <w:r>
                <w:rPr>
                  <w:u w:val="single"/>
                </w:rPr>
                <w:t xml:space="preserve">Budsjettforlik statsbudsjett (nasjonalbudsjett (NB) desember 2025</w:t>
              </w:r>
            </w:p>
            <w:p>
              <w:pPr>
                <w:spacing w:after="160"/>
              </w:pPr>
              <w:r>
                <w:t xml:space="preserve">Kommunenes frie inntekter ble økt med 3 mrd. nok i statsbudsjett for 2026. Dette ble innarbeidet i budsjettet til Skien ved at rammetilskuddet ble økt med 30 mnok. </w:t>
              </w:r>
              <w:r>
                <w:rPr>
                  <w:b/>
                </w:rPr>
                <w:t xml:space="preserve">Deler av beløpet kommer som skatt og må ombudsjetteres. </w:t>
              </w:r>
              <w:r>
                <w:t xml:space="preserve"> </w:t>
              </w:r>
            </w:p>
            <w:p>
              <w:pPr>
                <w:spacing w:after="160"/>
              </w:pPr>
              <w:r>
                <w:t xml:space="preserve">I tillegg ble rammetilskuddet økt som følge av innlemming av tidligere øremerkede tilskudd (redusert styringstrykk).  Følgende tilskudd er innlemmet i rammetilskuddet tilo kommunene:</w:t>
              </w:r>
            </w:p>
            <w:p>
              <w:pPr>
                <w:pStyle w:val="ListParagraph"/>
                <w:numPr>
                  <w:ilvl w:val="0"/>
                  <w:numId w:val="2"/>
                </w:numPr>
                <w:spacing w:after="160"/>
              </w:pPr>
              <w:r>
                <w:t xml:space="preserve">Tilskudd til veiledning av nyutdannede lærere</w:t>
              </w:r>
            </w:p>
            <w:p>
              <w:pPr>
                <w:pStyle w:val="ListParagraph"/>
                <w:numPr>
                  <w:ilvl w:val="0"/>
                  <w:numId w:val="2"/>
                </w:numPr>
                <w:spacing w:after="160"/>
              </w:pPr>
              <w:r>
                <w:t xml:space="preserve">Tilskudd til sosiale tjenester og tiltak for vanskeligstilte</w:t>
              </w:r>
            </w:p>
            <w:p>
              <w:pPr>
                <w:pStyle w:val="ListParagraph"/>
                <w:numPr>
                  <w:ilvl w:val="0"/>
                  <w:numId w:val="2"/>
                </w:numPr>
                <w:spacing w:after="160"/>
              </w:pPr>
              <w:r>
                <w:t xml:space="preserve">Tilskudd til frisklivs-, lærings- og mestringstilbud</w:t>
              </w:r>
            </w:p>
            <w:p>
              <w:pPr>
                <w:pStyle w:val="ListParagraph"/>
                <w:numPr>
                  <w:ilvl w:val="0"/>
                  <w:numId w:val="2"/>
                </w:numPr>
                <w:spacing w:after="160"/>
              </w:pPr>
              <w:r>
                <w:t xml:space="preserve">Tilskudd til kommunalt rusarbeid</w:t>
              </w:r>
            </w:p>
            <w:p>
              <w:pPr>
                <w:spacing w:after="160"/>
              </w:pPr>
              <w:r>
                <w:t xml:space="preserve">For Skien kommune utgjorde denne endringen en økning i rammetilskuddet på 7,0 mnok. .Tjenesteområdene blir kompensert for noe av dette bortfallet med 1,5 mnok.</w:t>
              </w:r>
            </w:p>
            <w:p>
              <w:pPr>
                <w:spacing w:after="160"/>
              </w:pPr>
              <w:r>
                <w:t xml:space="preserve">I saldert ble det også lagt til grunn en endring i skatteopplegget, noe som har null effekt, men som vil gi en annen fordeling mellom skatt og rammetilskudd på ca 4 mnok. Dette justerer det også for i denne saken. </w:t>
              </w:r>
            </w:p>
            <w:p>
              <w:pPr>
                <w:spacing w:after="160"/>
              </w:pPr>
              <w:r>
                <w:rPr>
                  <w:u w:val="single"/>
                </w:rPr>
                <w:t xml:space="preserve">Endelige folketall på 01.01.2026:</w:t>
              </w:r>
            </w:p>
            <w:p>
              <w:pPr>
                <w:spacing w:after="160"/>
              </w:pPr>
              <w:r>
                <w:t xml:space="preserve">For skatteinntekter og inntektsutjevning er folketallet per 1. januar i budsjettåret avgjørende. I budsjettet for 2026 for Skien kommune ble SSBs befolkningsprognose lagt til grunn. Både nasjonalt og lokalt har veksten blitt lavere enn forutsatt, og nedgangen har vært større i Skien enn i landet for øvrig. Dette medfører isolert sett en beregnet reduksjon i skatteinntekter og inntektsutjevning for Skien på til sammen 9,7 mnok.</w:t>
              </w:r>
            </w:p>
            <w:p>
              <w:pPr>
                <w:spacing w:after="160"/>
              </w:pPr>
              <w:r>
                <w:rPr>
                  <w:u w:val="single"/>
                </w:rPr>
                <w:t xml:space="preserve">Foreløpig revidert nasjonalbudsjett (RNB)</w:t>
              </w:r>
            </w:p>
            <w:p>
              <w:pPr>
                <w:spacing w:after="160"/>
              </w:pPr>
              <w:r>
                <w:t xml:space="preserve">Regjeringens forslag til revidert nasjonalbudsjett for 2026 innebærer i hovedsak et nøytralt økonomisk opplegg for kommunesektoren. Oppjusterte skatteinntekter motsvares i stor grad av økt kostnadsvekst, slik at den samlede endringen i inntektsrammene er begrenset. Anslaget for kommunal deflator er økt fra 3,5 til 4,1 pst., mens demografiutgiftene forventes å bli lavere enn lagt til grunn i saldert budsjett for 2026. Anslaget for kommunenes samlede skatteinntekter er basert på endring i pris - og lønnsvekst økt med 2,5 mrd. nok herav 24 mnok for Skien.</w:t>
              </w:r>
            </w:p>
            <w:p>
              <w:pPr>
                <w:spacing w:after="160"/>
              </w:pPr>
              <w:r>
                <w:t xml:space="preserve">For Skien kommune, dersom effekten av revidert nasjonalbudsjett isoleres, anslås en økning i skatteinntekter på om lag 24 mnok, samtidig som økt lønnsvekst gir en merutgift på om lag 17 mnok. Det er ikke funnet rom for å kompensere tjenesteområdene for prisveksten som har en estimert økning fra 2,8 prosentpoeng til 4,9 prosentpoeng.</w:t>
              </w:r>
            </w:p>
            <w:p>
              <w:pPr>
                <w:spacing w:after="160"/>
              </w:pPr>
              <w:r>
                <w:t xml:space="preserve">Samlet sett innebærer revidert nasjonalbudsjett at kommunene fortsatt må tilpasse aktivitetsnivå og tjenestetilbud til et stramt økonomisk handlingsrom.</w:t>
              </w:r>
            </w:p>
            <w:p>
              <w:pPr>
                <w:spacing w:after="160"/>
              </w:pPr>
              <w:r>
                <w:rPr>
                  <w:u w:val="single"/>
                </w:rPr>
                <w:t xml:space="preserve">Andre saker </w:t>
              </w:r>
            </w:p>
            <w:p>
              <w:pPr>
                <w:pStyle w:val="ListParagraph"/>
                <w:numPr>
                  <w:ilvl w:val="0"/>
                  <w:numId w:val="3"/>
                </w:numPr>
                <w:spacing w:after="160"/>
              </w:pPr>
              <w:r>
                <w:t xml:space="preserve">Nome og Drangedal har sagt opp sin avtale om deltakelse i det interkommunale samarbeidet om kommunalt øyeblikkelig hjelp døgntilbud (KØH) fra 1. januar og 1. april 2026. For å opprettholde et faglig forsvarlig døgntilbud må driftsnivået videreføres, til tross for at disse kommunene har trukket seg ut. Dette medfører behov for å dekke bortfall av refusjonsinntekter. For 2026 utgjør dette 2 mnok, og på helårsbasis 3 mnok.</w:t>
              </w:r>
            </w:p>
            <w:p>
              <w:pPr>
                <w:pStyle w:val="ListParagraph"/>
                <w:numPr>
                  <w:ilvl w:val="0"/>
                  <w:numId w:val="3"/>
                </w:numPr>
                <w:spacing w:after="160"/>
              </w:pPr>
              <w:r>
                <w:t xml:space="preserve">Trykket på tjenestene er fortsatt høyt knyttet til tidligere ankomne flyktninger. Det foreslås derfor å øke rammen til Helse og mestring med 1 mnok for å dekke økte utgifter til migrasjonshelse. </w:t>
              </w:r>
            </w:p>
            <w:p>
              <w:pPr>
                <w:pStyle w:val="ListParagraph"/>
                <w:numPr>
                  <w:ilvl w:val="0"/>
                  <w:numId w:val="3"/>
                </w:numPr>
                <w:spacing w:after="160"/>
              </w:pPr>
              <w:r>
                <w:t xml:space="preserve">Tilskuddet til private barnehager forventes å øke med 8 mnok sammenlignet med budsjett for 2026. Grunnlaget for satsberegningen er basert på regnskapstall fra 2024, samt delvis barnetall fra samme år, da ordningen med «fleksibelt opptak med rett til plass» var gjeldende. Ordningen medførte høyere bemanning enn minstekravene i regelverket, noe som bidrar til økte tilskuddssatser og dermed høyere tilskudd.</w:t>
              </w:r>
            </w:p>
            <w:p>
              <w:pPr>
                <w:pStyle w:val="ListParagraph"/>
                <w:numPr>
                  <w:ilvl w:val="0"/>
                  <w:numId w:val="3"/>
                </w:numPr>
                <w:spacing w:after="160"/>
              </w:pPr>
              <w:r>
                <w:t xml:space="preserve">Skien kommune deltar i et interkommunalt samarbeid om miljørettet helsevern i Grenland, med et årlig bidrag på om lag 2 mnok. Det foreslås å overføre budsjettrammen fra Helse og mestring til Organisasjon og utvikling, hvor ansvaret hensiktsmessig bør ligge. Endringen påvirker ikke kommunens samlede rammer, og legges derfor fram som en rammeoverføring mellom tjenesteområder.</w:t>
              </w:r>
            </w:p>
            <w:p>
              <w:pPr>
                <w:spacing w:after="160"/>
              </w:pPr>
              <w:r>
                <w:t xml:space="preserve"> </w:t>
              </w:r>
            </w:p>
            <w:p>
              <w:pPr>
                <w:spacing w:after="160"/>
              </w:pPr>
              <w:r>
                <w:rPr>
                  <w:u w:val="single"/>
                </w:rPr>
                <w:t xml:space="preserve">Oppsummert tabell:</w:t>
              </w:r>
            </w:p>
            <w:tbl>
              <w:tblPr>
                <w:tblStyle w:val="TableGrid"/>
                <w:tblW w:w="9000" w:type="dxa"/>
                <w:tblLayout w:type="fixed"/>
                <w:tblLook w:firstRow="false" w:lastRow="false" w:firstColumn="false" w:lastColumn="false"/>
              </w:tblPr>
              <w:tblGrid>
                <w:gridCol w:w="2324.7"/>
                <w:gridCol w:w="1872"/>
                <w:gridCol w:w="3826.8"/>
                <w:gridCol w:w="976.5"/>
              </w:tblGrid>
              <w:tr>
                <w:trPr>
                  <w:trHeight w:val="588" w:hRule="atLeast"/>
                </w:trPr>
                <w:tc>
                  <w:tcPr>
                    <w:tcW w:w="1900" w:type="auto"/>
                    <w:vAlign w:val="center"/>
                  </w:tcPr>
                  <w:p>
                    <w:pPr>
                      <w:spacing w:after="160"/>
                    </w:pPr>
                    <w:r>
                      <w:rPr>
                        <w:b/>
                      </w:rPr>
                      <w:t xml:space="preserve">Tjenesteområde</w:t>
                    </w:r>
                  </w:p>
                </w:tc>
                <w:tc>
                  <w:tcPr>
                    <w:tcW w:w="2040" w:type="auto"/>
                    <w:vAlign w:val="center"/>
                  </w:tcPr>
                  <w:p>
                    <w:pPr>
                      <w:spacing w:after="160"/>
                    </w:pPr>
                    <w:r>
                      <w:rPr>
                        <w:b/>
                      </w:rPr>
                      <w:t xml:space="preserve">Utgift/inntekt</w:t>
                    </w:r>
                  </w:p>
                </w:tc>
                <w:tc>
                  <w:tcPr>
                    <w:tcW w:w="6480" w:type="auto"/>
                    <w:vAlign w:val="center"/>
                  </w:tcPr>
                  <w:p>
                    <w:pPr>
                      <w:spacing w:after="160"/>
                    </w:pPr>
                    <w:r>
                      <w:rPr>
                        <w:b/>
                      </w:rPr>
                      <w:t xml:space="preserve">Sak</w:t>
                    </w:r>
                  </w:p>
                </w:tc>
                <w:tc>
                  <w:tcPr>
                    <w:tcW w:w="1240" w:type="auto"/>
                    <w:vAlign w:val="center"/>
                  </w:tcPr>
                  <w:p>
                    <w:pPr>
                      <w:spacing w:after="160"/>
                    </w:pPr>
                    <w:r>
                      <w:rPr>
                        <w:b/>
                      </w:rPr>
                      <w:t xml:space="preserve">Beløp i mnok</w:t>
                    </w:r>
                  </w:p>
                </w:tc>
              </w:tr>
              <w:tr>
                <w:trPr>
                  <w:trHeight w:val="288" w:hRule="atLeast"/>
                </w:trPr>
                <w:tc>
                  <w:tcPr>
                    <w:vAlign w:val="center"/>
                  </w:tcPr>
                  <w:p>
                    <w:pPr>
                      <w:spacing w:after="160"/>
                    </w:pPr>
                    <w:r>
                      <w:t xml:space="preserve">Felles</w:t>
                    </w:r>
                  </w:p>
                </w:tc>
                <w:tc>
                  <w:tcPr>
                    <w:vAlign w:val="center"/>
                  </w:tcPr>
                  <w:p>
                    <w:pPr>
                      <w:spacing w:after="160"/>
                    </w:pPr>
                    <w:r>
                      <w:t xml:space="preserve">økt inntekt</w:t>
                    </w:r>
                  </w:p>
                </w:tc>
                <w:tc>
                  <w:tcPr>
                    <w:vAlign w:val="center"/>
                  </w:tcPr>
                  <w:p>
                    <w:pPr>
                      <w:spacing w:after="160"/>
                    </w:pPr>
                    <w:r>
                      <w:t xml:space="preserve">Økt rammetilskudd Saldert NB</w:t>
                    </w:r>
                  </w:p>
                </w:tc>
                <w:tc>
                  <w:tcPr>
                    <w:vAlign w:val="center"/>
                  </w:tcPr>
                  <w:p>
                    <w:pPr>
                      <w:keepNext/>
                      <w:jc w:val="right"/>
                      <w:spacing w:after="160"/>
                    </w:pPr>
                    <w:r>
                      <w:t xml:space="preserve">7,0</w:t>
                    </w:r>
                  </w:p>
                </w:tc>
              </w:tr>
              <w:tr>
                <w:trPr>
                  <w:trHeight w:val="288" w:hRule="atLeast"/>
                </w:trPr>
                <w:tc>
                  <w:tcPr>
                    <w:vAlign w:val="center"/>
                  </w:tcPr>
                  <w:p>
                    <w:pPr>
                      <w:spacing w:after="160"/>
                    </w:pPr>
                    <w:r>
                      <w:t xml:space="preserve">Felles</w:t>
                    </w:r>
                  </w:p>
                </w:tc>
                <w:tc>
                  <w:tcPr>
                    <w:vAlign w:val="center"/>
                  </w:tcPr>
                  <w:p>
                    <w:pPr>
                      <w:spacing w:after="160"/>
                    </w:pPr>
                    <w:r>
                      <w:t xml:space="preserve">nulll effekt</w:t>
                    </w:r>
                  </w:p>
                </w:tc>
                <w:tc>
                  <w:tcPr>
                    <w:vAlign w:val="center"/>
                  </w:tcPr>
                  <w:p>
                    <w:pPr>
                      <w:spacing w:after="160"/>
                    </w:pPr>
                    <w:r>
                      <w:t xml:space="preserve">redusert skatt og økt rammetilskudd med 4,0 mnok saldert NB</w:t>
                    </w:r>
                  </w:p>
                </w:tc>
                <w:tc>
                  <w:tcPr>
                    <w:vAlign w:val="center"/>
                  </w:tcPr>
                  <w:p>
                    <w:pPr>
                      <w:keepNext/>
                      <w:jc w:val="right"/>
                      <w:spacing w:after="160"/>
                    </w:pPr>
                    <w:r>
                      <w:t xml:space="preserve">0</w:t>
                    </w:r>
                  </w:p>
                </w:tc>
              </w:tr>
              <w:tr>
                <w:trPr>
                  <w:tblCellSpacing w:w="0" w:type="dxa"/>
                </w:trPr>
                <w:tc>
                  <w:tcPr>
                    <w:vAlign w:val="center"/>
                  </w:tcPr>
                  <w:p>
                    <w:pPr>
                      <w:spacing w:after="160"/>
                    </w:pPr>
                    <w:r>
                      <w:t xml:space="preserve">Felles</w:t>
                    </w:r>
                  </w:p>
                </w:tc>
                <w:tc>
                  <w:tcPr>
                    <w:vAlign w:val="center"/>
                  </w:tcPr>
                  <w:p>
                    <w:pPr>
                      <w:spacing w:after="160"/>
                    </w:pPr>
                    <w:r>
                      <w:t xml:space="preserve">redusert inntekt</w:t>
                    </w:r>
                  </w:p>
                </w:tc>
                <w:tc>
                  <w:tcPr>
                    <w:vAlign w:val="center"/>
                  </w:tcPr>
                  <w:p>
                    <w:pPr>
                      <w:spacing w:after="160"/>
                    </w:pPr>
                    <w:r>
                      <w:t xml:space="preserve">Redusert skatt og inntektsutjevning endring folketall</w:t>
                    </w:r>
                  </w:p>
                </w:tc>
                <w:tc>
                  <w:tcPr>
                    <w:vAlign w:val="center"/>
                  </w:tcPr>
                  <w:p>
                    <w:pPr>
                      <w:keepNext/>
                      <w:jc w:val="right"/>
                      <w:spacing w:after="160"/>
                    </w:pPr>
                    <w:r>
                      <w:t xml:space="preserve">-9,7</w:t>
                    </w:r>
                  </w:p>
                </w:tc>
              </w:tr>
              <w:tr>
                <w:trPr>
                  <w:trHeight w:val="288" w:hRule="atLeast"/>
                </w:trPr>
                <w:tc>
                  <w:tcPr>
                    <w:vAlign w:val="center"/>
                  </w:tcPr>
                  <w:p>
                    <w:pPr>
                      <w:spacing w:after="160"/>
                    </w:pPr>
                    <w:r>
                      <w:t xml:space="preserve">Felles</w:t>
                    </w:r>
                  </w:p>
                </w:tc>
                <w:tc>
                  <w:tcPr>
                    <w:vAlign w:val="center"/>
                  </w:tcPr>
                  <w:p>
                    <w:pPr>
                      <w:spacing w:after="160"/>
                    </w:pPr>
                    <w:r>
                      <w:t xml:space="preserve">økt inntekt</w:t>
                    </w:r>
                  </w:p>
                </w:tc>
                <w:tc>
                  <w:tcPr>
                    <w:vAlign w:val="center"/>
                  </w:tcPr>
                  <w:p>
                    <w:pPr>
                      <w:spacing w:after="160"/>
                    </w:pPr>
                    <w:r>
                      <w:t xml:space="preserve">Økt skatt og inntektsutjevning RNB</w:t>
                    </w:r>
                  </w:p>
                </w:tc>
                <w:tc>
                  <w:tcPr>
                    <w:vAlign w:val="center"/>
                  </w:tcPr>
                  <w:p>
                    <w:pPr>
                      <w:keepNext/>
                      <w:jc w:val="right"/>
                      <w:spacing w:after="160"/>
                    </w:pPr>
                    <w:r>
                      <w:t xml:space="preserve">24,1</w:t>
                    </w:r>
                  </w:p>
                </w:tc>
              </w:tr>
              <w:tr>
                <w:trPr>
                  <w:tblCellSpacing w:w="0" w:type="dxa"/>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rPr>
                        <w:b/>
                      </w:rPr>
                      <w:t xml:space="preserve">Saldert skatt og rammetilskudd i NB og RNB + innbyggertall</w:t>
                    </w:r>
                  </w:p>
                </w:tc>
                <w:tc>
                  <w:tcPr>
                    <w:vAlign w:val="center"/>
                  </w:tcPr>
                  <w:p>
                    <w:pPr>
                      <w:jc w:val="right"/>
                      <w:spacing w:after="160"/>
                    </w:pPr>
                    <w:r>
                      <w:rPr>
                        <w:b/>
                      </w:rPr>
                      <w:t xml:space="preserve">21,4</w:t>
                    </w:r>
                  </w:p>
                </w:tc>
              </w:tr>
              <w:tr>
                <w:trPr>
                  <w:trHeight w:val="288" w:hRule="atLeast"/>
                </w:trPr>
                <w:tc>
                  <w:tcPr>
                    <w:vAlign w:val="center"/>
                  </w:tcPr>
                  <w:p>
                    <w:pPr>
                      <w:spacing w:after="160"/>
                    </w:pPr>
                    <w:r>
                      <w:t xml:space="preserve">Felles</w:t>
                    </w:r>
                  </w:p>
                </w:tc>
                <w:tc>
                  <w:tcPr>
                    <w:vAlign w:val="center"/>
                  </w:tcPr>
                  <w:p>
                    <w:pPr>
                      <w:spacing w:after="160"/>
                    </w:pPr>
                    <w:r>
                      <w:t xml:space="preserve">økt utgift</w:t>
                    </w:r>
                  </w:p>
                </w:tc>
                <w:tc>
                  <w:tcPr>
                    <w:vAlign w:val="center"/>
                  </w:tcPr>
                  <w:p>
                    <w:pPr>
                      <w:spacing w:after="160"/>
                    </w:pPr>
                    <w:r>
                      <w:t xml:space="preserve">Økt lønnsoppgjør</w:t>
                    </w:r>
                  </w:p>
                </w:tc>
                <w:tc>
                  <w:tcPr>
                    <w:vAlign w:val="center"/>
                  </w:tcPr>
                  <w:p>
                    <w:pPr>
                      <w:keepNext/>
                      <w:jc w:val="right"/>
                      <w:spacing w:after="160"/>
                    </w:pPr>
                    <w:r>
                      <w:t xml:space="preserve">-16,8</w:t>
                    </w:r>
                  </w:p>
                </w:tc>
              </w:tr>
              <w:tr>
                <w:trPr>
                  <w:trHeight w:val="288" w:hRule="atLeast"/>
                </w:trPr>
                <w:tc>
                  <w:tcPr>
                    <w:vAlign w:val="center"/>
                  </w:tcPr>
                  <w:p>
                    <w:pPr>
                      <w:spacing w:after="160"/>
                    </w:pPr>
                    <w:r>
                      <w:t xml:space="preserve">Felles</w:t>
                    </w:r>
                  </w:p>
                </w:tc>
                <w:tc>
                  <w:tcPr>
                    <w:vAlign w:val="center"/>
                  </w:tcPr>
                  <w:p>
                    <w:pPr>
                      <w:spacing w:after="160"/>
                    </w:pPr>
                    <w:r>
                      <w:t xml:space="preserve">redusert utgift</w:t>
                    </w:r>
                  </w:p>
                </w:tc>
                <w:tc>
                  <w:tcPr>
                    <w:vAlign w:val="center"/>
                  </w:tcPr>
                  <w:p>
                    <w:pPr>
                      <w:spacing w:after="160"/>
                    </w:pPr>
                    <w:r>
                      <w:t xml:space="preserve">Foreløpig beregning reduksjon pensjonsutgifter </w:t>
                    </w:r>
                  </w:p>
                </w:tc>
                <w:tc>
                  <w:tcPr>
                    <w:vAlign w:val="center"/>
                  </w:tcPr>
                  <w:p>
                    <w:pPr>
                      <w:keepNext/>
                      <w:jc w:val="right"/>
                      <w:spacing w:after="160"/>
                    </w:pPr>
                    <w:r>
                      <w:t xml:space="preserve">8,0</w:t>
                    </w:r>
                  </w:p>
                </w:tc>
              </w:tr>
              <w:tr>
                <w:trPr>
                  <w:trHeight w:val="288" w:hRule="atLeast"/>
                </w:trPr>
                <w:tc>
                  <w:tcPr>
                    <w:vAlign w:val="center"/>
                  </w:tcPr>
                  <w:p>
                    <w:pPr>
                      <w:spacing w:after="160"/>
                    </w:pPr>
                    <w:r>
                      <w:t xml:space="preserve">Oppvekst</w:t>
                    </w:r>
                  </w:p>
                </w:tc>
                <w:tc>
                  <w:tcPr>
                    <w:vAlign w:val="center"/>
                  </w:tcPr>
                  <w:p>
                    <w:pPr>
                      <w:spacing w:after="160"/>
                    </w:pPr>
                    <w:r>
                      <w:t xml:space="preserve">redusert inntekt</w:t>
                    </w:r>
                  </w:p>
                </w:tc>
                <w:tc>
                  <w:tcPr>
                    <w:vAlign w:val="center"/>
                  </w:tcPr>
                  <w:p>
                    <w:pPr>
                      <w:spacing w:after="160"/>
                    </w:pPr>
                    <w:r>
                      <w:t xml:space="preserve">tilskuddsordning til veiledning for nyutdannede lærere</w:t>
                    </w:r>
                  </w:p>
                </w:tc>
                <w:tc>
                  <w:tcPr>
                    <w:vAlign w:val="center"/>
                  </w:tcPr>
                  <w:p>
                    <w:pPr>
                      <w:keepNext/>
                      <w:jc w:val="right"/>
                      <w:spacing w:after="160"/>
                    </w:pPr>
                    <w:r>
                      <w:t xml:space="preserve">-0,7</w:t>
                    </w:r>
                  </w:p>
                </w:tc>
              </w:tr>
              <w:tr>
                <w:trPr>
                  <w:trHeight w:val="288" w:hRule="atLeast"/>
                </w:trPr>
                <w:tc>
                  <w:tcPr>
                    <w:vAlign w:val="center"/>
                  </w:tcPr>
                  <w:p>
                    <w:pPr>
                      <w:spacing w:after="160"/>
                    </w:pPr>
                    <w:r>
                      <w:t xml:space="preserve">Nav</w:t>
                    </w:r>
                  </w:p>
                </w:tc>
                <w:tc>
                  <w:tcPr>
                    <w:vAlign w:val="center"/>
                  </w:tcPr>
                  <w:p>
                    <w:pPr>
                      <w:spacing w:after="160"/>
                    </w:pPr>
                    <w:r>
                      <w:t xml:space="preserve">redusert inntekt</w:t>
                    </w:r>
                  </w:p>
                </w:tc>
                <w:tc>
                  <w:tcPr>
                    <w:vAlign w:val="center"/>
                  </w:tcPr>
                  <w:p>
                    <w:pPr>
                      <w:spacing w:after="160"/>
                    </w:pPr>
                    <w:r>
                      <w:t xml:space="preserve">sosiale tjenester og tiltak for vanskeligstilte</w:t>
                    </w:r>
                  </w:p>
                </w:tc>
                <w:tc>
                  <w:tcPr>
                    <w:vAlign w:val="center"/>
                  </w:tcPr>
                  <w:p>
                    <w:pPr>
                      <w:keepNext/>
                      <w:jc w:val="right"/>
                      <w:spacing w:after="160"/>
                    </w:pPr>
                    <w:r>
                      <w:t xml:space="preserve">-0,5</w:t>
                    </w:r>
                  </w:p>
                </w:tc>
              </w:tr>
              <w:tr>
                <w:trPr>
                  <w:trHeight w:val="288" w:hRule="atLeast"/>
                </w:trPr>
                <w:tc>
                  <w:tcPr>
                    <w:vAlign w:val="center"/>
                  </w:tcPr>
                  <w:p>
                    <w:pPr>
                      <w:spacing w:after="160"/>
                    </w:pPr>
                    <w:r>
                      <w:t xml:space="preserve">Helse- og mestring</w:t>
                    </w:r>
                  </w:p>
                </w:tc>
                <w:tc>
                  <w:tcPr>
                    <w:vAlign w:val="center"/>
                  </w:tcPr>
                  <w:p>
                    <w:pPr>
                      <w:spacing w:after="160"/>
                    </w:pPr>
                    <w:r>
                      <w:t xml:space="preserve">redusert inntekt</w:t>
                    </w:r>
                  </w:p>
                </w:tc>
                <w:tc>
                  <w:tcPr>
                    <w:vAlign w:val="center"/>
                  </w:tcPr>
                  <w:p>
                    <w:pPr>
                      <w:spacing w:after="160"/>
                    </w:pPr>
                    <w:r>
                      <w:t xml:space="preserve">Frisklivs-, lærings- og mestringstilbud</w:t>
                    </w:r>
                  </w:p>
                </w:tc>
                <w:tc>
                  <w:tcPr>
                    <w:vAlign w:val="center"/>
                  </w:tcPr>
                  <w:p>
                    <w:pPr>
                      <w:keepNext/>
                      <w:jc w:val="right"/>
                      <w:spacing w:after="160"/>
                    </w:pPr>
                    <w:r>
                      <w:t xml:space="preserve">-0,3</w:t>
                    </w:r>
                  </w:p>
                </w:tc>
              </w:tr>
              <w:tr>
                <w:trPr>
                  <w:trHeight w:val="288" w:hRule="atLeast"/>
                </w:trPr>
                <w:tc>
                  <w:tcPr>
                    <w:vAlign w:val="center"/>
                  </w:tcPr>
                  <w:p>
                    <w:pPr>
                      <w:spacing w:after="160"/>
                    </w:pPr>
                    <w:r>
                      <w:t xml:space="preserve">Oppvekst</w:t>
                    </w:r>
                  </w:p>
                </w:tc>
                <w:tc>
                  <w:tcPr>
                    <w:vAlign w:val="center"/>
                  </w:tcPr>
                  <w:p>
                    <w:pPr>
                      <w:spacing w:after="160"/>
                    </w:pPr>
                    <w:r>
                      <w:t xml:space="preserve">økt utgift</w:t>
                    </w:r>
                  </w:p>
                </w:tc>
                <w:tc>
                  <w:tcPr>
                    <w:vAlign w:val="center"/>
                  </w:tcPr>
                  <w:p>
                    <w:pPr>
                      <w:spacing w:after="160"/>
                    </w:pPr>
                    <w:r>
                      <w:t xml:space="preserve">Økt tilskudd private barnehager</w:t>
                    </w:r>
                  </w:p>
                </w:tc>
                <w:tc>
                  <w:tcPr>
                    <w:vAlign w:val="center"/>
                  </w:tcPr>
                  <w:p>
                    <w:pPr>
                      <w:keepNext/>
                      <w:jc w:val="right"/>
                      <w:spacing w:after="160"/>
                    </w:pPr>
                    <w:r>
                      <w:t xml:space="preserve">-8,0</w:t>
                    </w:r>
                  </w:p>
                </w:tc>
              </w:tr>
              <w:tr>
                <w:trPr>
                  <w:trHeight w:val="288" w:hRule="atLeast"/>
                </w:trPr>
                <w:tc>
                  <w:tcPr>
                    <w:vAlign w:val="center"/>
                  </w:tcPr>
                  <w:p>
                    <w:pPr>
                      <w:spacing w:after="160"/>
                    </w:pPr>
                    <w:r>
                      <w:t xml:space="preserve">Helse- og mestring</w:t>
                    </w:r>
                  </w:p>
                </w:tc>
                <w:tc>
                  <w:tcPr>
                    <w:vAlign w:val="center"/>
                  </w:tcPr>
                  <w:p>
                    <w:pPr>
                      <w:spacing w:after="160"/>
                    </w:pPr>
                    <w:r>
                      <w:t xml:space="preserve">økt utgift</w:t>
                    </w:r>
                  </w:p>
                </w:tc>
                <w:tc>
                  <w:tcPr>
                    <w:vAlign w:val="center"/>
                  </w:tcPr>
                  <w:p>
                    <w:pPr>
                      <w:spacing w:after="160"/>
                    </w:pPr>
                    <w:r>
                      <w:t xml:space="preserve">Migrasjonshelse </w:t>
                    </w:r>
                  </w:p>
                </w:tc>
                <w:tc>
                  <w:tcPr>
                    <w:vAlign w:val="center"/>
                  </w:tcPr>
                  <w:p>
                    <w:pPr>
                      <w:keepNext/>
                      <w:jc w:val="right"/>
                      <w:spacing w:after="160"/>
                    </w:pPr>
                    <w:r>
                      <w:t xml:space="preserve">-1,0</w:t>
                    </w:r>
                  </w:p>
                </w:tc>
              </w:tr>
              <w:tr>
                <w:trPr>
                  <w:trHeight w:val="300" w:hRule="atLeast"/>
                </w:trPr>
                <w:tc>
                  <w:tcPr>
                    <w:vAlign w:val="center"/>
                  </w:tcPr>
                  <w:p>
                    <w:pPr>
                      <w:spacing w:after="160"/>
                    </w:pPr>
                    <w:r>
                      <w:t xml:space="preserve">Helse- og mestring</w:t>
                    </w:r>
                  </w:p>
                </w:tc>
                <w:tc>
                  <w:tcPr>
                    <w:vAlign w:val="center"/>
                  </w:tcPr>
                  <w:p>
                    <w:pPr>
                      <w:spacing w:after="160"/>
                    </w:pPr>
                    <w:r>
                      <w:t xml:space="preserve">redusert inntekt</w:t>
                    </w:r>
                  </w:p>
                </w:tc>
                <w:tc>
                  <w:tcPr>
                    <w:vAlign w:val="center"/>
                  </w:tcPr>
                  <w:p>
                    <w:pPr>
                      <w:spacing w:after="160"/>
                    </w:pPr>
                    <w:r>
                      <w:t xml:space="preserve">Opprettholde plasser ø-hjelp etter uttreden Drangedal og Nome</w:t>
                    </w:r>
                  </w:p>
                </w:tc>
                <w:tc>
                  <w:tcPr>
                    <w:vAlign w:val="center"/>
                  </w:tcPr>
                  <w:p>
                    <w:pPr>
                      <w:keepNext/>
                      <w:jc w:val="right"/>
                      <w:spacing w:after="160"/>
                    </w:pPr>
                    <w:r>
                      <w:t xml:space="preserve">-2,0</w:t>
                    </w:r>
                  </w:p>
                </w:tc>
              </w:tr>
              <w:tr>
                <w:trPr>
                  <w:tblCellSpacing w:w="0" w:type="dxa"/>
                </w:trPr>
                <w:tc>
                  <w:tcPr>
                    <w:vAlign w:val="center"/>
                  </w:tcPr>
                  <w:p>
                    <w:pPr>
                      <w:spacing w:after="160"/>
                    </w:pPr>
                    <w:r>
                      <w:t xml:space="preserve">Helse- og mestring</w:t>
                    </w:r>
                  </w:p>
                </w:tc>
                <w:tc>
                  <w:tcPr>
                    <w:vAlign w:val="center"/>
                  </w:tcPr>
                  <w:p>
                    <w:pPr>
                      <w:spacing w:after="160"/>
                    </w:pPr>
                    <w:r>
                      <w:t xml:space="preserve">redusert utgift</w:t>
                    </w:r>
                  </w:p>
                </w:tc>
                <w:tc>
                  <w:tcPr>
                    <w:vAlign w:val="center"/>
                  </w:tcPr>
                  <w:p>
                    <w:pPr>
                      <w:spacing w:after="160"/>
                    </w:pPr>
                    <w:r>
                      <w:t xml:space="preserve">Overføre miljørettet helsevern til kommuneoverlegen</w:t>
                    </w:r>
                  </w:p>
                </w:tc>
                <w:tc>
                  <w:tcPr>
                    <w:vAlign w:val="center"/>
                  </w:tcPr>
                  <w:p>
                    <w:pPr>
                      <w:jc w:val="right"/>
                      <w:spacing w:after="160"/>
                    </w:pPr>
                    <w:r>
                      <w:t xml:space="preserve">-2,1</w:t>
                    </w:r>
                  </w:p>
                </w:tc>
              </w:tr>
              <w:tr>
                <w:trPr>
                  <w:tblCellSpacing w:w="0" w:type="dxa"/>
                </w:trPr>
                <w:tc>
                  <w:tcPr>
                    <w:vAlign w:val="center"/>
                  </w:tcPr>
                  <w:p>
                    <w:pPr>
                      <w:spacing w:after="160"/>
                    </w:pPr>
                    <w:r>
                      <w:t xml:space="preserve">OU</w:t>
                    </w:r>
                  </w:p>
                </w:tc>
                <w:tc>
                  <w:tcPr>
                    <w:vAlign w:val="center"/>
                  </w:tcPr>
                  <w:p>
                    <w:pPr>
                      <w:spacing w:after="160"/>
                    </w:pPr>
                    <w:r>
                      <w:t xml:space="preserve">økt utgift</w:t>
                    </w:r>
                  </w:p>
                </w:tc>
                <w:tc>
                  <w:tcPr>
                    <w:vAlign w:val="center"/>
                  </w:tcPr>
                  <w:p>
                    <w:pPr>
                      <w:spacing w:after="160"/>
                    </w:pPr>
                    <w:r>
                      <w:t xml:space="preserve">Overføre miljørettet helsevern</w:t>
                    </w:r>
                  </w:p>
                </w:tc>
                <w:tc>
                  <w:tcPr>
                    <w:vAlign w:val="center"/>
                  </w:tcPr>
                  <w:p>
                    <w:pPr>
                      <w:jc w:val="right"/>
                      <w:spacing w:after="160"/>
                    </w:pPr>
                    <w:r>
                      <w:t xml:space="preserve">2,1</w:t>
                    </w:r>
                  </w:p>
                </w:tc>
              </w:tr>
              <w:tr>
                <w:trPr>
                  <w:tblCellSpacing w:w="0" w:type="dxa"/>
                </w:trPr>
                <w:tc>
                  <w:tcPr>
                    <w:vAlign w:val="center"/>
                  </w:tcPr>
                  <w:p>
                    <w:pPr>
                      <w:spacing w:after="160"/>
                    </w:pPr>
                    <w:r>
                      <w:rPr>
                        <w:b/>
                      </w:rPr>
                      <w:t xml:space="preserve">SUM</w:t>
                    </w:r>
                  </w:p>
                </w:tc>
                <w:tc>
                  <w:tcPr>
                    <w:vAlign w:val="center"/>
                  </w:tcPr>
                  <w:p>
                    <w:pPr>
                      <w:spacing w:after="160"/>
                    </w:pPr>
                    <w:r>
                      <w:t xml:space="preserve"> </w:t>
                    </w:r>
                  </w:p>
                </w:tc>
                <w:tc>
                  <w:tcPr>
                    <w:vAlign w:val="center"/>
                  </w:tcPr>
                  <w:p>
                    <w:pPr>
                      <w:spacing w:after="160"/>
                    </w:pPr>
                    <w:r>
                      <w:t xml:space="preserve"> </w:t>
                    </w:r>
                  </w:p>
                </w:tc>
                <w:tc>
                  <w:tcPr>
                    <w:vAlign w:val="center"/>
                  </w:tcPr>
                  <w:p>
                    <w:pPr>
                      <w:jc w:val="right"/>
                      <w:spacing w:after="160"/>
                    </w:pPr>
                    <w:r>
                      <w:rPr>
                        <w:b/>
                      </w:rPr>
                      <w:t xml:space="preserve">0</w:t>
                    </w:r>
                  </w:p>
                </w:tc>
              </w:tr>
            </w:tbl>
            <w:p>
              <w:pPr>
                <w:spacing w:after="160"/>
              </w:pPr>
              <w:r>
                <w:t xml:space="preserve"> </w:t>
              </w:r>
            </w:p>
            <w:p>
              <w:pPr>
                <w:spacing w:after="160"/>
              </w:pPr>
              <w:r>
                <w:br/>
              </w:r>
              <w:r>
                <w:rPr>
                  <w:b/>
                </w:rPr>
                <w:t xml:space="preserve">Effekten av saken </w:t>
              </w:r>
              <w:r>
                <w:br/>
              </w:r>
              <w:r>
                <w:t xml:space="preserve">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br/>
              </w:r>
              <w:r>
                <w:rPr>
                  <w:b/>
                </w:rPr>
                <w:t xml:space="preserve">Kommunedirektørens vurdering og konklusjon</w:t>
              </w:r>
              <w:r>
                <w:br/>
              </w:r>
              <w:r>
                <w:t xml:space="preserve">Regjeringens forslag til revidert nasjonalbudsjett (RNB) for 2026 innebærer i hovedsak et nøytralt økonomisk opplegg for kommunesektoren. Oppjusterte skatteinntekter motsvares i stor grad av økt kostnadsvekst, slik at den samlede endringen i inntektsrammene er begrenset.</w:t>
              </w:r>
            </w:p>
            <w:p>
              <w:pPr>
                <w:spacing w:after="160"/>
              </w:pPr>
              <w:r>
                <w:t xml:space="preserve">Anslaget for kommunal deflator er økt fra 3,5 til 4,1 prosent, mens demografikostnadene forventes å bli lavere enn lagt til grunn i saldert budsjett for 2026. Anslaget for kommunenes samlede skatteinntekter er oppjustert som følge av økt pris- og lønnsvekst med 2,5 mrd. nok, hvorav 24 mnok er beregnet i økte inntekter for Skien. Budsjettet for skatteinntekter og rammetilskudd tilpasses budsjettforliket om statsbudsjettet, oppdaterte befolkningstall og RNB, og vil dermed være i tråd med den siste versjonen av KS-modellen for slike anslag.</w:t>
              </w:r>
            </w:p>
            <w:p>
              <w:pPr>
                <w:spacing w:after="160"/>
              </w:pPr>
              <w:r>
                <w:t xml:space="preserve">Skien kommunes budsjett for 2026 justeres i tråd med disse føringene, noe som gir noe økte sentrale inntekter. Tjenesteområdene kompenseres for lønnsvekst, men det er ikke rom for å kompensere for økt forventet prisvekst, da kommunen samtidig forventer økte utgifter og reduserte inntekter på enkelte områder, som spesifisert i saken. Det avsettes ytterligere 16,9 mnok til lønnsoppgjøret, og anslaget for pensjonsutgifter reduseres med 8 mnok.</w:t>
              </w:r>
            </w:p>
            <w:p>
              <w:pPr>
                <w:spacing w:after="160"/>
              </w:pPr>
              <w:r>
                <w:t xml:space="preserve">De underliggende utfordringene knyttet til demografisk utvikling og økte tjenestebehov videreføres, uten at RNB 2026 gir vesentlige lettelser i dette bildet.</w:t>
              </w:r>
            </w:p>
            <w:p>
              <w:pPr>
                <w:spacing w:after="160"/>
              </w:pPr>
              <w:r>
                <w:t xml:space="preserve">For tjenesteområdene økes rammene for Oppvekst med 8,682 mnok, Helse og mestring med 3,344 mnok og NAV med 0,495 mnok. I tillegg gjennomføres det en omfordeling av rammer mellom Helse og mestring og Organisasjon og utvikling knyttet til miljørettet helsevern.</w:t>
              </w:r>
            </w:p>
            <w:p>
              <w:pPr>
                <w:spacing w:after="160"/>
              </w:pPr>
              <w:r>
                <w:br/>
              </w:r>
              <w:r>
                <w:rPr>
                  <w:b/>
                </w:rPr>
                <w:t xml:space="preserve">Referanser</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dcdd453d4dd1493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Budsjettreguleringer juni</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