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26/13509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Pål Vaage Martinsen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01.06.2026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32/26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09.06.2026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Alarmsentralen Telemark – videreføring og valg av samarbeidsform</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Alarmsentralen Telemark videreføres i kommunal/interkommunal regi. Samlet konkurranseutsetting anbefales ikke utredet videre på nåværende grunnlag.</w:t>
              </w:r>
            </w:p>
            <w:p>
              <w:pPr>
                <w:pStyle w:val="ListParagraph"/>
                <w:numPr>
                  <w:ilvl w:val="0"/>
                  <w:numId w:val="1"/>
                </w:numPr>
                <w:spacing w:after="160"/>
              </w:pPr>
              <w:r>
                <w:t xml:space="preserve">Administrasjonen arbeider videre med å etablere Alarmsentralen Telemark som vertskommunesamarbeid etter kommuneloven kapittel 20, med Skien kommune som vertskommune.</w:t>
              </w:r>
            </w:p>
            <w:p>
              <w:pPr>
                <w:pStyle w:val="ListParagraph"/>
                <w:numPr>
                  <w:ilvl w:val="0"/>
                  <w:numId w:val="1"/>
                </w:numPr>
                <w:spacing w:after="160"/>
              </w:pPr>
              <w:r>
                <w:t xml:space="preserve">Administrasjonen utarbeider forslag til samarbeidsavtale, finansierings- og prismodell, rapporteringsordning og vilkår for eventuell deltakelse fra nye kommuner.</w:t>
              </w:r>
            </w:p>
            <w:p>
              <w:pPr>
                <w:pStyle w:val="ListParagraph"/>
                <w:numPr>
                  <w:ilvl w:val="0"/>
                  <w:numId w:val="1"/>
                </w:numPr>
                <w:spacing w:after="160"/>
              </w:pPr>
              <w:r>
                <w:t xml:space="preserve">Forslag til samarbeidsavtale og eventuell nødvendig delegering legges fram for politisk behandling i Skien kommune og øvrige deltakerkommuner.</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BYST 208/24 – konkurranseutsetting</w:t>
              </w:r>
            </w:p>
            <w:p>
              <w:pPr>
                <w:spacing w:after="160"/>
              </w:pPr>
              <w:r>
                <w:t xml:space="preserve">Med bakgrunn i kommunens økonomiske situasjon ba bystyret administrasjonen gjennomgå tjenester innen helse og velferd og vurdere hvor det kan være hensiktsmessig å konkurranseutsette. Alarmsentralen ble særskilt nevnt som ett av områdene som skulle vurderes med sikte på effektivisering eller konkurranseutsetting.</w:t>
              </w:r>
            </w:p>
            <w:p>
              <w:pPr>
                <w:spacing w:after="160"/>
              </w:pPr>
              <w:r>
                <w:t xml:space="preserve">Mandatet for gjennomgangen omfatter blant annet tjenesteportefølje, avtale- og beslutningsgrunnlag, lovhjemmel og kompetansekrav, ressursbruk og kostnadsdekning, hvilke deler som eventuelt kan konkurranseutsettes eller inngå i samarbeid med andre kommuner, samt ressursbehov og budsjettramme ved ulike løsninger.</w:t>
              </w:r>
            </w:p>
            <w:p>
              <w:pPr>
                <w:spacing w:after="160"/>
              </w:pPr>
              <w:r>
                <w:t xml:space="preserve">Administrasjonen har på denne bakgrunn gjennomført en kartlegging og vurdering av Alarmsentralens tjenester, økonomi, organisering og mulige videre løsninger.</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 </w:t>
              </w:r>
            </w:p>
            <w:p>
              <w:pPr>
                <w:spacing w:after="160"/>
              </w:pPr>
              <w:r>
                <w:rPr>
                  <w:b/>
                </w:rPr>
                <w:t xml:space="preserve">Omfang og metode</w:t>
              </w:r>
            </w:p>
            <w:p>
              <w:pPr>
                <w:spacing w:after="160"/>
              </w:pPr>
              <w:r>
                <w:t xml:space="preserve">Gjennomgangen bygger på tilgjengelige vedtekter, avtaleoversikter og tidligere beslutningsgrunnlag, økonomi- og volumdata, tidsstudie for aktivitet mellom tjenesteområder, mottatte opplysninger fra Alarmsentralen og sammenligning med relevante responssentre.</w:t>
              </w:r>
            </w:p>
            <w:p>
              <w:pPr>
                <w:spacing w:after="160"/>
              </w:pPr>
              <w:r>
                <w:t xml:space="preserve">Formålet har vært å vurdere:</w:t>
              </w:r>
            </w:p>
            <w:p>
              <w:pPr>
                <w:pStyle w:val="ListParagraph"/>
                <w:numPr>
                  <w:ilvl w:val="0"/>
                  <w:numId w:val="2"/>
                </w:numPr>
                <w:spacing w:after="160"/>
              </w:pPr>
              <w:r>
                <w:t xml:space="preserve">om det foreligger grunnlag for å konkurranseutsette Alarmsentralen samlet eller deler av virksomheten</w:t>
              </w:r>
            </w:p>
            <w:p>
              <w:pPr>
                <w:pStyle w:val="ListParagraph"/>
                <w:numPr>
                  <w:ilvl w:val="0"/>
                  <w:numId w:val="2"/>
                </w:numPr>
                <w:spacing w:after="160"/>
              </w:pPr>
              <w:r>
                <w:t xml:space="preserve">om dagens samarbeidsform bør videreføres eller erstattes av en oppdatert modell etter gjeldende kommunelov</w:t>
              </w:r>
            </w:p>
            <w:p>
              <w:pPr>
                <w:pStyle w:val="ListParagraph"/>
                <w:numPr>
                  <w:ilvl w:val="0"/>
                  <w:numId w:val="2"/>
                </w:numPr>
                <w:spacing w:after="160"/>
              </w:pPr>
              <w:r>
                <w:t xml:space="preserve">hvordan avtalegrunnlag, finansieringsmodell og mulig utvidelse av samarbeidet bør følges opp</w:t>
              </w:r>
            </w:p>
            <w:p>
              <w:pPr>
                <w:spacing w:after="160"/>
              </w:pPr>
              <w:r>
                <w:rPr>
                  <w:b/>
                </w:rPr>
                <w:t xml:space="preserve">Alarmsentralens oppgaver og omfang</w:t>
              </w:r>
            </w:p>
            <w:p>
              <w:pPr>
                <w:spacing w:after="160"/>
              </w:pPr>
              <w:r>
                <w:t xml:space="preserve">Alarmsentralen Telemark er et interkommunalt samarbeid med Skien kommune som vertskommune. Deltakerkommunene er Skien, Bamble, Siljan, Drangedal, Tokke, Vinje og Fyresdal. I tillegg leverer sentralen tjenester til eksterne kommunekunder og private/næringskunder etter avtale.</w:t>
              </w:r>
            </w:p>
            <w:p>
              <w:pPr>
                <w:spacing w:after="160"/>
              </w:pPr>
              <w:r>
                <w:t xml:space="preserve">Alarmsentralen er døgnbemannet og ivaretar flere ulike tjenester:</w:t>
              </w:r>
            </w:p>
            <w:tbl>
              <w:tblPr>
                <w:tblStyle w:val="TableGrid"/>
                <w:tblW w:w="9000" w:type="dxa"/>
                <w:tblLayout w:type="fixed"/>
                <w:tblLook w:firstRow="true" w:lastRow="false" w:firstColumn="false" w:lastColumn="false"/>
              </w:tblPr>
              <w:tblGrid>
                <w:gridCol w:w="2379.6"/>
                <w:gridCol w:w="2873.7"/>
                <w:gridCol w:w="3746.7"/>
              </w:tblGrid>
              <w:tr>
                <w:trPr>
                  <w:tblCellSpacing w:w="0" w:type="dxa"/>
                </w:trPr>
                <w:tc>
                  <w:tcPr>
                    <w:tcW w:w="264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Tjenesteområde</w:t>
                    </w:r>
                  </w:p>
                </w:tc>
                <w:tc>
                  <w:tcPr>
                    <w:tcW w:w="264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Eksempler</w:t>
                    </w:r>
                  </w:p>
                </w:tc>
                <w:tc>
                  <w:tcPr>
                    <w:tcW w:w="264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Relevans for vurderingen</w:t>
                    </w:r>
                  </w:p>
                </w:tc>
              </w:tr>
              <w:tr>
                <w:trPr>
                  <w:tblCellSpacing w:w="0" w:type="dxa"/>
                </w:trPr>
                <w:tc>
                  <w:tcPr>
                    <w:tcW w:w="2640" w:type="auto"/>
                    <w:tcMar>
                      <w:left w:w="108" w:type="dxa"/>
                      <w:right w:w="108" w:type="dxa"/>
                    </w:tcMar>
                    <w:vAlign w:val="top"/>
                  </w:tcPr>
                  <w:p>
                    <w:pPr>
                      <w:spacing w:after="160"/>
                    </w:pPr>
                    <w:r>
                      <w:t xml:space="preserve">Helse- og responssentertjenester</w:t>
                    </w:r>
                  </w:p>
                </w:tc>
                <w:tc>
                  <w:tcPr>
                    <w:tcW w:w="2640" w:type="auto"/>
                    <w:tcMar>
                      <w:left w:w="108" w:type="dxa"/>
                      <w:right w:w="108" w:type="dxa"/>
                    </w:tcMar>
                    <w:vAlign w:val="top"/>
                  </w:tcPr>
                  <w:p>
                    <w:pPr>
                      <w:spacing w:after="160"/>
                    </w:pPr>
                    <w:r>
                      <w:t xml:space="preserve">Trygghetsalarm, mobil trygghetsalarm, GPS, digitalt tilsyn og medisindispenser</w:t>
                    </w:r>
                  </w:p>
                </w:tc>
                <w:tc>
                  <w:tcPr>
                    <w:tcW w:w="2640" w:type="auto"/>
                    <w:tcMar>
                      <w:left w:w="108" w:type="dxa"/>
                      <w:right w:w="108" w:type="dxa"/>
                    </w:tcMar>
                    <w:vAlign w:val="top"/>
                  </w:tcPr>
                  <w:p>
                    <w:pPr>
                      <w:spacing w:after="160"/>
                    </w:pPr>
                    <w:r>
                      <w:t xml:space="preserve">Tett knyttet til helse- og omsorgstjenestene; delvis sammenlignbart med andre responssentre</w:t>
                    </w:r>
                  </w:p>
                </w:tc>
              </w:tr>
              <w:tr>
                <w:trPr>
                  <w:tblCellSpacing w:w="0" w:type="dxa"/>
                </w:trPr>
                <w:tc>
                  <w:tcPr>
                    <w:tcW w:w="2640" w:type="auto"/>
                    <w:tcMar>
                      <w:left w:w="108" w:type="dxa"/>
                      <w:right w:w="108" w:type="dxa"/>
                    </w:tcMar>
                    <w:vAlign w:val="top"/>
                  </w:tcPr>
                  <w:p>
                    <w:pPr>
                      <w:spacing w:after="160"/>
                    </w:pPr>
                    <w:r>
                      <w:t xml:space="preserve">Service- og koordineringsoppgaver</w:t>
                    </w:r>
                  </w:p>
                </w:tc>
                <w:tc>
                  <w:tcPr>
                    <w:tcW w:w="2640" w:type="auto"/>
                    <w:tcMar>
                      <w:left w:w="108" w:type="dxa"/>
                      <w:right w:w="108" w:type="dxa"/>
                    </w:tcMar>
                    <w:vAlign w:val="top"/>
                  </w:tcPr>
                  <w:p>
                    <w:pPr>
                      <w:spacing w:after="160"/>
                    </w:pPr>
                    <w:r>
                      <w:t xml:space="preserve">Telefonmottak for hjemmetjenesten og formidling av henvendelser</w:t>
                    </w:r>
                  </w:p>
                </w:tc>
                <w:tc>
                  <w:tcPr>
                    <w:tcW w:w="2640" w:type="auto"/>
                    <w:tcMar>
                      <w:left w:w="108" w:type="dxa"/>
                      <w:right w:w="108" w:type="dxa"/>
                    </w:tcMar>
                    <w:vAlign w:val="top"/>
                  </w:tcPr>
                  <w:p>
                    <w:pPr>
                      <w:spacing w:after="160"/>
                    </w:pPr>
                    <w:r>
                      <w:t xml:space="preserve">Avlaster utførende tjenester; ikke omfattet av den økonomiske sammenligningen nedenfor</w:t>
                    </w:r>
                  </w:p>
                </w:tc>
              </w:tr>
              <w:tr>
                <w:trPr>
                  <w:tblCellSpacing w:w="0" w:type="dxa"/>
                </w:trPr>
                <w:tc>
                  <w:tcPr>
                    <w:tcW w:w="2640" w:type="auto"/>
                    <w:tcMar>
                      <w:left w:w="108" w:type="dxa"/>
                      <w:right w:w="108" w:type="dxa"/>
                    </w:tcMar>
                    <w:vAlign w:val="top"/>
                  </w:tcPr>
                  <w:p>
                    <w:pPr>
                      <w:spacing w:after="160"/>
                    </w:pPr>
                    <w:r>
                      <w:t xml:space="preserve">Tekniske og kommersielle tjenester</w:t>
                    </w:r>
                  </w:p>
                </w:tc>
                <w:tc>
                  <w:tcPr>
                    <w:tcW w:w="2640" w:type="auto"/>
                    <w:tcMar>
                      <w:left w:w="108" w:type="dxa"/>
                      <w:right w:w="108" w:type="dxa"/>
                    </w:tcMar>
                    <w:vAlign w:val="top"/>
                  </w:tcPr>
                  <w:p>
                    <w:pPr>
                      <w:spacing w:after="160"/>
                    </w:pPr>
                    <w:r>
                      <w:t xml:space="preserve">Brannalarmer, heisalarmer, innbruddsalarmer og tekniske alarmer</w:t>
                    </w:r>
                  </w:p>
                </w:tc>
                <w:tc>
                  <w:tcPr>
                    <w:tcW w:w="2640" w:type="auto"/>
                    <w:tcMar>
                      <w:left w:w="108" w:type="dxa"/>
                      <w:right w:w="108" w:type="dxa"/>
                    </w:tcMar>
                    <w:vAlign w:val="top"/>
                  </w:tcPr>
                  <w:p>
                    <w:pPr>
                      <w:spacing w:after="160"/>
                    </w:pPr>
                    <w:r>
                      <w:t xml:space="preserve">Inntektsgivende tjenester som bidrar til utnyttelse av døgnbemannet kapasitet</w:t>
                    </w:r>
                  </w:p>
                </w:tc>
              </w:tr>
              <w:tr>
                <w:trPr>
                  <w:tblCellSpacing w:w="0" w:type="dxa"/>
                </w:trPr>
                <w:tc>
                  <w:tcPr>
                    <w:tcW w:w="2640" w:type="auto"/>
                    <w:tcMar>
                      <w:left w:w="108" w:type="dxa"/>
                      <w:right w:w="108" w:type="dxa"/>
                    </w:tcMar>
                    <w:vAlign w:val="top"/>
                  </w:tcPr>
                  <w:p>
                    <w:pPr>
                      <w:spacing w:after="160"/>
                    </w:pPr>
                    <w:r>
                      <w:t xml:space="preserve">Beredskap og kritisk infrastruktur</w:t>
                    </w:r>
                  </w:p>
                </w:tc>
                <w:tc>
                  <w:tcPr>
                    <w:tcW w:w="2640" w:type="auto"/>
                    <w:tcMar>
                      <w:left w:w="108" w:type="dxa"/>
                      <w:right w:w="108" w:type="dxa"/>
                    </w:tcMar>
                    <w:vAlign w:val="top"/>
                  </w:tcPr>
                  <w:p>
                    <w:pPr>
                      <w:spacing w:after="160"/>
                    </w:pPr>
                    <w:r>
                      <w:t xml:space="preserve">Varsling, krisestøtte, nødnett/sikringsradio og beredskapslokasjon</w:t>
                    </w:r>
                  </w:p>
                </w:tc>
                <w:tc>
                  <w:tcPr>
                    <w:tcW w:w="2640" w:type="auto"/>
                    <w:tcMar>
                      <w:left w:w="108" w:type="dxa"/>
                      <w:right w:w="108" w:type="dxa"/>
                    </w:tcMar>
                    <w:vAlign w:val="top"/>
                  </w:tcPr>
                  <w:p>
                    <w:pPr>
                      <w:spacing w:after="160"/>
                    </w:pPr>
                    <w:r>
                      <w:t xml:space="preserve">Lokal beredskapsfunksjon som ikke er direkte sammenlignbar med kjøp av responssentertjenester</w:t>
                    </w:r>
                  </w:p>
                </w:tc>
              </w:tr>
            </w:tbl>
            <w:p>
              <w:pPr>
                <w:spacing w:after="160"/>
              </w:pPr>
              <w:r>
                <w:t xml:space="preserve">Den døgnbemannede grunnkapasiteten benyttes dermed til flere formål. Dette er viktig ved vurderingen av konkurranseutsetting: en ekstern pris for én del av tjenesteporteføljen kan ikke uten videre sammenlignes med kostnaden ved hele Alarmsentralen.</w:t>
              </w:r>
            </w:p>
            <w:p>
              <w:pPr>
                <w:spacing w:after="160"/>
              </w:pPr>
              <w:r>
                <w:rPr>
                  <w:b/>
                </w:rPr>
                <w:t xml:space="preserve">1. Vurdering av konkurranseutsetting</w:t>
              </w:r>
            </w:p>
            <w:p>
              <w:pPr>
                <w:spacing w:after="160"/>
              </w:pPr>
              <w:r>
                <w:rPr>
                  <w:b/>
                </w:rPr>
                <w:t xml:space="preserve">1.1 Økonomisk sammenligning av trygghetsalarm</w:t>
              </w:r>
            </w:p>
            <w:p>
              <w:pPr>
                <w:spacing w:after="160"/>
              </w:pPr>
              <w:r>
                <w:t xml:space="preserve">Trygghetsalarm er valgt som hovedområde for økonomisk sammenligning. Begrunnelsen er at trygghetsalarm er den største enkeltaktiviteten i Alarmsentralens tidsstudie, med 120 registrerte operatørtimer per uke, tilsvarende om lag 36 prosent av samlet registrert operatørtid. Tjenesten er samtidig direkte sammenlignbar med en priset tjeneste hos Agder responssenter.</w:t>
              </w:r>
            </w:p>
            <w:p>
              <w:pPr>
                <w:spacing w:after="160"/>
              </w:pPr>
              <w:r>
                <w:t xml:space="preserve">Sammenligningen er ikke en fullstendig analyse av all virksomhet i Alarmsentralen. Den brukes som en overordnet indikator på kostnadsnivået for en sentral og sammenlignbar del av kjernevirksomheten.</w:t>
              </w:r>
            </w:p>
            <w:p>
              <w:pPr>
                <w:spacing w:after="160"/>
              </w:pPr>
              <w:r>
                <w:rPr>
                  <w:b/>
                </w:rPr>
                <w:t xml:space="preserve">Sammenligningsgrunnlag for Skien kommune</w:t>
              </w:r>
            </w:p>
            <w:p>
              <w:pPr>
                <w:spacing w:after="160"/>
              </w:pPr>
              <w:r>
                <w:t xml:space="preserve">I økonomigrunnlaget for Alarmsentralen er samlet kostnad for trygghetsalarm i 2024 estimert til om lag 7,0 mill. kroner. Benyttes Skiens andel av dekningsbidraget som en overordnet proxy for kostnadsandel, tilsvarer dette en beregnet andel for Skien på om lag 4,7 mill. kroner.</w:t>
              </w:r>
            </w:p>
            <w:p>
              <w:pPr>
                <w:spacing w:after="160"/>
              </w:pPr>
              <w:r>
                <w:t xml:space="preserve">Agder responssenter har offentlig tilgjengelige priser for bemannet responssentertjeneste knyttet til trygghetsalarm. Anvendt på oppgitte volumer for Skien gir Agders prisnivå en indikativ kostnad på om lag 1,6–1,7 mill. kroner per år for sammenlignbare trygghetsalarmtjenester.</w:t>
              </w:r>
            </w:p>
            <w:p>
              <w:pPr>
                <w:spacing w:after="160"/>
              </w:pPr>
              <w:r>
                <w:t xml:space="preserve">Den observerte prisforskjellen kan ikke alene brukes som en direkte sammenligning av hva trygghetsalarmordningen samlet ville kostet Skien kommune. Skien kommune hadde i 2024 egenbetalingsinntekter knyttet til trygghetsalarm på om lag 6,3 mill. kroner, men har senere endret praksis og tilbyr nå trygghetsalarm som helse- og omsorgstjeneste uten egenandel. Agder har opplyst at egenbetaling fortsatt benyttes i flere av deres kommuner, samtidig som egenbetalingen ligger utenfor selve vederlaget til responssenteret.</w:t>
              </w:r>
            </w:p>
            <w:p>
              <w:pPr>
                <w:spacing w:after="160"/>
              </w:pPr>
              <w:r>
                <w:t xml:space="preserve">Agders prisliste gir dermed et relevant referansepunkt for den bemannede responssentertjenesten, men ikke alene for den samlede nettoøkonomien ved trygghetsalarmordningen for Skien. Ved vurderingen må det også tas hensyn til at Skien ikke lenger har tilsvarende egenbetalingsinntekter, og at Alarmsentralens tjeneste inngår i en bredere døgnbemannet driftsmodell.</w:t>
              </w:r>
            </w:p>
            <w:p>
              <w:pPr>
                <w:spacing w:after="160"/>
              </w:pPr>
              <w:r>
                <w:t xml:space="preserve">Den økonomiske vurderingen må også ses i sammenheng med Alarmsentralens samlede driftsmodell. Alarmsentralen har døgnbemannet kapasitet som benyttes til flere tjenester, herunder trygghetsalarm, tekniske alarmtjenester, telefonmottak og beredskapsoppgaver. Trygghetsalarm er den største enkeltaktiviteten, men inngår samtidig i en modell der tilgjengelig kapasitet utnyttes på tvers av tjenester. Dette gir mulighet for økonomiske synergier og gjør at kostnaden ved én isolert tjeneste ikke uten videre kan vurderes uavhengig av den øvrige virksomheten.</w:t>
              </w:r>
            </w:p>
            <w:p>
              <w:pPr>
                <w:spacing w:after="160"/>
              </w:pPr>
              <w:r>
                <w:t xml:space="preserve">Sammenligningen viser derfor ikke at ekstern levering ville gitt lavere netto kostnad for Skien kommune. Den viser først og fremst at finansieringsmodell, egenbetalingspraksis og utnyttelsen av felles døgnbemannet kapasitet er avgjørende for hvordan kostnadsnivået skal vurderes.</w:t>
              </w:r>
            </w:p>
            <w:p>
              <w:pPr>
                <w:spacing w:after="160"/>
              </w:pPr>
              <w:r>
                <w:t xml:space="preserve"> </w:t>
              </w:r>
            </w:p>
            <w:p>
              <w:pPr>
                <w:spacing w:after="160"/>
              </w:pPr>
              <w:r>
                <w:rPr>
                  <w:b/>
                </w:rPr>
                <w:t xml:space="preserve">1.2 Øvrige vurderinger knyttet til konkurranseutsetting</w:t>
              </w:r>
            </w:p>
            <w:p>
              <w:pPr>
                <w:spacing w:after="160"/>
              </w:pPr>
              <w:r>
                <w:t xml:space="preserve">Alarmsentralens samlede virksomhet omfatter mer enn trygghetsalarm og ordinære responssentertjenester. Sentralen utfører også tekniske og kommersielle alarmtjenester, telefonmottak og koordineringsoppgaver samt lokale beredskapsfunksjoner. Disse funksjonene inngår ikke i prisbenchmarken mot Agder.</w:t>
              </w:r>
            </w:p>
            <w:p>
              <w:pPr>
                <w:spacing w:after="160"/>
              </w:pPr>
              <w:r>
                <w:t xml:space="preserve">Den samlede modellen bygger på en døgnbemannet kapasitet som benyttes på tvers av tjenesteområder. Den samme kapasiteten som ivaretar trygghetsalarm og beredskapsoppgaver, benyttes også til inntektsgivende tekniske og kommersielle alarmtjenester, blant annet heisalarmer og tekniske alarmer. Dette bidrar til bedre utnyttelse av kapasitet som allerede må være tilgjengelig gjennom hele døgnet.</w:t>
              </w:r>
            </w:p>
            <w:p>
              <w:pPr>
                <w:spacing w:after="160"/>
              </w:pPr>
              <w:r>
                <w:t xml:space="preserve">Ved vurdering av konkurranseutsetting må det derfor tas hensyn til at uttrekk av enkelte tjenesteområder kan redusere inntektsgrunnlaget og kapasitetsutnyttelsen, uten at behovet for døgnbemanning og lokal beredskap faller tilsvarende. En ekstern referansepris for én tjeneste kan derfor ikke uten videre legges til grunn som uttrykk for kommunens faktiske økonomiske gevinst.</w:t>
              </w:r>
            </w:p>
            <w:p>
              <w:pPr>
                <w:spacing w:after="160"/>
              </w:pPr>
              <w:r>
                <w:t xml:space="preserve">Alarmsentralen håndterer også velferdsteknologiske varsler som inngår i kommunens helse- og omsorgstjenester. Ved eventuelle organisatoriske endringer må dokumentasjon, arbeidsprosesser og nødvendige systemkoblinger ivaretas. Dette momentet tillegges vekt, men er ikke alene avgjørende for vurderingen.</w:t>
              </w:r>
            </w:p>
            <w:p>
              <w:pPr>
                <w:spacing w:after="160"/>
              </w:pPr>
              <w:r>
                <w:rPr>
                  <w:b/>
                </w:rPr>
                <w:t xml:space="preserve">1.3 Konklusjon – konkurranseutsetting</w:t>
              </w:r>
            </w:p>
            <w:p>
              <w:pPr>
                <w:spacing w:after="160"/>
              </w:pPr>
              <w:r>
                <w:t xml:space="preserve">Den økonomiske sammenligningen av trygghetsalarm gir ikke grunnlag for å konkludere med at ekstern levering ville gitt lavere samlet netto kostnad for Skien kommune. Agders priser gir et referansepunkt for bemannet responssentertjeneste, men fanger ikke alene opp forskjeller i finansiering av trygghetsalarmordningen eller konsekvensene av at Skien ikke lenger har egenbetalingsinntekter. Samtidig inngår trygghetsalarm i Alarmsentralens døgnbemannede grunnkapasitet sammen med tekniske alarmtjenester, telefonmottak og beredskapsoppgaver.</w:t>
              </w:r>
            </w:p>
            <w:p>
              <w:pPr>
                <w:spacing w:after="160"/>
              </w:pPr>
              <w:r>
                <w:t xml:space="preserve">Den samlede modellen gir mulighet for å utnytte tilgjengelig kapasitet på tvers av tjenesteområder og opprettholde en lokal beredskapsfunksjon. Dette er forhold som ikke fanges opp gjennom en isolert prissammenligning av trygghetsalarmtjenesten.</w:t>
              </w:r>
            </w:p>
            <w:p>
              <w:pPr>
                <w:spacing w:after="160"/>
              </w:pPr>
              <w:r>
                <w:t xml:space="preserve">På dette grunnlaget anbefales det ikke å konkurranseutsette Alarmsentralen samlet. Eventuell fremtidig vurdering av enkeltstående tekniske eller kommersielle tjenester må i så fall gjøres særskilt, med vurdering av faktisk økonomisk effekt og konsekvenser for gjenværende grunnkapasitet.</w:t>
              </w:r>
            </w:p>
            <w:p>
              <w:pPr>
                <w:spacing w:after="160"/>
              </w:pPr>
              <w:r>
                <w:rPr>
                  <w:b/>
                </w:rPr>
                <w:t xml:space="preserve">2. Vurdering av samarbeidsform</w:t>
              </w:r>
            </w:p>
            <w:p>
              <w:pPr>
                <w:spacing w:after="160"/>
              </w:pPr>
              <w:r>
                <w:rPr>
                  <w:b/>
                </w:rPr>
                <w:t xml:space="preserve">2.1 Dagens organisering og behov for ny modell</w:t>
              </w:r>
            </w:p>
            <w:p>
              <w:pPr>
                <w:spacing w:after="160"/>
              </w:pPr>
              <w:r>
                <w:t xml:space="preserve">Alarmsentralen har sitt utspring i et interkommunalt samarbeid etablert etter tidligere kommuneloven § 27, med Skien kommune som vertskommune. Tjenesten utføres i dag i Skien kommunes organisasjon, med kommunens ansatte, lokasjon og tekniske infrastruktur.</w:t>
              </w:r>
            </w:p>
            <w:p>
              <w:pPr>
                <w:spacing w:after="160"/>
              </w:pPr>
              <w:r>
                <w:t xml:space="preserve">Gjeldende kommunelov har andre modeller for interkommunalt samarbeid enn den tidligere § 27-modellen. Det er derfor behov for å etablere et oppdatert avtale- og organisasjonsgrunnlag for videre drift av Alarmsentralen.</w:t>
              </w:r>
            </w:p>
            <w:p>
              <w:pPr>
                <w:spacing w:after="160"/>
              </w:pPr>
              <w:r>
                <w:rPr>
                  <w:b/>
                </w:rPr>
                <w:t xml:space="preserve">2.2 Premisser for valg av samarbeidsform</w:t>
              </w:r>
            </w:p>
            <w:p>
              <w:pPr>
                <w:spacing w:after="160"/>
              </w:pPr>
              <w:r>
                <w:t xml:space="preserve">Valg av samarbeidsform må vurderes opp mot tjenestens karakter, ansvar, økonomi og behovet for videre utvikling.</w:t>
              </w:r>
            </w:p>
            <w:tbl>
              <w:tblPr>
                <w:tblStyle w:val="TableGrid"/>
                <w:tblW w:w="0" w:type="auto"/>
                <w:tblLook w:firstRow="true" w:lastRow="false" w:firstColumn="false" w:lastColumn="false"/>
              </w:tblPr>
              <w:tblGrid>
                <w:gridCol/>
                <w:gridCol/>
              </w:tblGrid>
              <w:tr>
                <w:trPr>
                  <w:tblCellSpacing w:w="0" w:type="dxa"/>
                </w:trPr>
                <w:tc>
                  <w:tcPr>
                    <w:tcW w:w="396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Premiss</w:t>
                    </w:r>
                  </w:p>
                </w:tc>
                <w:tc>
                  <w:tcPr>
                    <w:tcW w:w="396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Betydning for valg av samarbeidsform</w:t>
                    </w:r>
                  </w:p>
                </w:tc>
              </w:tr>
              <w:tr>
                <w:trPr>
                  <w:tblCellSpacing w:w="0" w:type="dxa"/>
                </w:trPr>
                <w:tc>
                  <w:tcPr>
                    <w:tcW w:w="3960" w:type="auto"/>
                    <w:tcMar>
                      <w:left w:w="108" w:type="dxa"/>
                      <w:right w:w="108" w:type="dxa"/>
                    </w:tcMar>
                    <w:vAlign w:val="top"/>
                  </w:tcPr>
                  <w:p>
                    <w:pPr>
                      <w:spacing w:after="160"/>
                    </w:pPr>
                    <w:r>
                      <w:t xml:space="preserve">Alarmsentralen er i hovedsak operativ tjenesteyting, ikke et kapitalkrevende felles infrastrukturanlegg</w:t>
                    </w:r>
                  </w:p>
                </w:tc>
                <w:tc>
                  <w:tcPr>
                    <w:tcW w:w="3960" w:type="auto"/>
                    <w:tcMar>
                      <w:left w:w="108" w:type="dxa"/>
                      <w:right w:w="108" w:type="dxa"/>
                    </w:tcMar>
                    <w:vAlign w:val="top"/>
                  </w:tcPr>
                  <w:p>
                    <w:pPr>
                      <w:spacing w:after="160"/>
                    </w:pPr>
                    <w:r>
                      <w:t xml:space="preserve">Taler mot behov for å etablere eget selskap som IKS eller AS</w:t>
                    </w:r>
                  </w:p>
                </w:tc>
              </w:tr>
              <w:tr>
                <w:trPr>
                  <w:tblCellSpacing w:w="0" w:type="dxa"/>
                </w:trPr>
                <w:tc>
                  <w:tcPr>
                    <w:tcW w:w="3960" w:type="auto"/>
                    <w:tcMar>
                      <w:left w:w="108" w:type="dxa"/>
                      <w:right w:w="108" w:type="dxa"/>
                    </w:tcMar>
                    <w:vAlign w:val="top"/>
                  </w:tcPr>
                  <w:p>
                    <w:pPr>
                      <w:spacing w:after="160"/>
                    </w:pPr>
                    <w:r>
                      <w:t xml:space="preserve">Skien utfører allerede oppgavene og har ansatte, systemer og lokasjon</w:t>
                    </w:r>
                  </w:p>
                </w:tc>
                <w:tc>
                  <w:tcPr>
                    <w:tcW w:w="3960" w:type="auto"/>
                    <w:tcMar>
                      <w:left w:w="108" w:type="dxa"/>
                      <w:right w:w="108" w:type="dxa"/>
                    </w:tcMar>
                    <w:vAlign w:val="top"/>
                  </w:tcPr>
                  <w:p>
                    <w:pPr>
                      <w:spacing w:after="160"/>
                    </w:pPr>
                    <w:r>
                      <w:t xml:space="preserve">Taler for at Skien videreføres som vertskommune</w:t>
                    </w:r>
                  </w:p>
                </w:tc>
              </w:tr>
              <w:tr>
                <w:trPr>
                  <w:tblCellSpacing w:w="0" w:type="dxa"/>
                </w:trPr>
                <w:tc>
                  <w:tcPr>
                    <w:tcW w:w="3960" w:type="auto"/>
                    <w:tcMar>
                      <w:left w:w="108" w:type="dxa"/>
                      <w:right w:w="108" w:type="dxa"/>
                    </w:tcMar>
                    <w:vAlign w:val="top"/>
                  </w:tcPr>
                  <w:p>
                    <w:pPr>
                      <w:spacing w:after="160"/>
                    </w:pPr>
                    <w:r>
                      <w:t xml:space="preserve">Tjenesten omfatter oppgaver innen helse-/omsorg, tekniske tjenester og beredskap</w:t>
                    </w:r>
                  </w:p>
                </w:tc>
                <w:tc>
                  <w:tcPr>
                    <w:tcW w:w="3960" w:type="auto"/>
                    <w:tcMar>
                      <w:left w:w="108" w:type="dxa"/>
                      <w:right w:w="108" w:type="dxa"/>
                    </w:tcMar>
                    <w:vAlign w:val="top"/>
                  </w:tcPr>
                  <w:p>
                    <w:pPr>
                      <w:spacing w:after="160"/>
                    </w:pPr>
                    <w:r>
                      <w:t xml:space="preserve">Krever tydelig avgrensning av oppgaver, ansvar og finansiering i avtalen</w:t>
                    </w:r>
                  </w:p>
                </w:tc>
              </w:tr>
              <w:tr>
                <w:trPr>
                  <w:tblCellSpacing w:w="0" w:type="dxa"/>
                </w:trPr>
                <w:tc>
                  <w:tcPr>
                    <w:tcW w:w="3960" w:type="auto"/>
                    <w:tcMar>
                      <w:left w:w="108" w:type="dxa"/>
                      <w:right w:w="108" w:type="dxa"/>
                    </w:tcMar>
                    <w:vAlign w:val="top"/>
                  </w:tcPr>
                  <w:p>
                    <w:pPr>
                      <w:spacing w:after="160"/>
                    </w:pPr>
                    <w:r>
                      <w:t xml:space="preserve">Deltakerkommunene har behov for forutsigbar informasjon og medvirkning</w:t>
                    </w:r>
                  </w:p>
                </w:tc>
                <w:tc>
                  <w:tcPr>
                    <w:tcW w:w="3960" w:type="auto"/>
                    <w:tcMar>
                      <w:left w:w="108" w:type="dxa"/>
                      <w:right w:w="108" w:type="dxa"/>
                    </w:tcMar>
                    <w:vAlign w:val="top"/>
                  </w:tcPr>
                  <w:p>
                    <w:pPr>
                      <w:spacing w:after="160"/>
                    </w:pPr>
                    <w:r>
                      <w:t xml:space="preserve">Krever fast rapportering og en samarbeidsarena tilpasset valgt modell</w:t>
                    </w:r>
                  </w:p>
                </w:tc>
              </w:tr>
              <w:tr>
                <w:trPr>
                  <w:tblCellSpacing w:w="0" w:type="dxa"/>
                </w:trPr>
                <w:tc>
                  <w:tcPr>
                    <w:tcW w:w="3960" w:type="auto"/>
                    <w:tcMar>
                      <w:left w:w="108" w:type="dxa"/>
                      <w:right w:w="108" w:type="dxa"/>
                    </w:tcMar>
                    <w:vAlign w:val="top"/>
                  </w:tcPr>
                  <w:p>
                    <w:pPr>
                      <w:spacing w:after="160"/>
                    </w:pPr>
                    <w:r>
                      <w:t xml:space="preserve">Samarbeidet bør kunne utvides med flere kommuner over tid</w:t>
                    </w:r>
                  </w:p>
                </w:tc>
                <w:tc>
                  <w:tcPr>
                    <w:tcW w:w="3960" w:type="auto"/>
                    <w:tcMar>
                      <w:left w:w="108" w:type="dxa"/>
                      <w:right w:w="108" w:type="dxa"/>
                    </w:tcMar>
                    <w:vAlign w:val="top"/>
                  </w:tcPr>
                  <w:p>
                    <w:pPr>
                      <w:spacing w:after="160"/>
                    </w:pPr>
                    <w:r>
                      <w:t xml:space="preserve">Krever skalerbar finansierings- og prismodell samt klare vilkår for inntreden</w:t>
                    </w:r>
                  </w:p>
                </w:tc>
              </w:tr>
            </w:tbl>
            <w:p>
              <w:pPr>
                <w:spacing w:after="160"/>
              </w:pPr>
              <w:r>
                <w:rPr>
                  <w:b/>
                </w:rPr>
                <w:t xml:space="preserve">2.3 Alternative samarbeidsformer</w:t>
              </w:r>
            </w:p>
            <w:tbl>
              <w:tblPr>
                <w:tblStyle w:val="TableGrid"/>
                <w:tblW w:w="0" w:type="auto"/>
                <w:tblLook w:firstRow="true" w:lastRow="false" w:firstColumn="false" w:lastColumn="false"/>
              </w:tblPr>
              <w:tblGrid>
                <w:gridCol/>
                <w:gridCol/>
              </w:tblGrid>
              <w:tr>
                <w:trPr>
                  <w:tblCellSpacing w:w="0" w:type="dxa"/>
                </w:trPr>
                <w:tc>
                  <w:tcPr>
                    <w:tcW w:w="396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Modell</w:t>
                    </w:r>
                  </w:p>
                </w:tc>
                <w:tc>
                  <w:tcPr>
                    <w:tcW w:w="3960" w:type="auto"/>
                    <w:tcBorders>
                      <w:top w:val="none" w:color="000000" w:sz="0"/>
                      <w:left w:val="none" w:color="000000" w:sz="0"/>
                      <w:bottom w:val="single" w:color="000000" w:sz="4"/>
                      <w:right w:val="none" w:color="000000" w:sz="0"/>
                    </w:tcBorders>
                    <w:tcMar>
                      <w:left w:w="108" w:type="dxa"/>
                      <w:right w:w="108" w:type="dxa"/>
                    </w:tcMar>
                    <w:vAlign w:val="bottom"/>
                  </w:tcPr>
                  <w:p>
                    <w:pPr>
                      <w:spacing w:after="160"/>
                    </w:pPr>
                    <w:r>
                      <w:t xml:space="preserve">Vurdering for Alarmsentralen</w:t>
                    </w:r>
                  </w:p>
                </w:tc>
              </w:tr>
              <w:tr>
                <w:trPr>
                  <w:tblCellSpacing w:w="0" w:type="dxa"/>
                </w:trPr>
                <w:tc>
                  <w:tcPr>
                    <w:tcW w:w="3960" w:type="auto"/>
                    <w:tcMar>
                      <w:left w:w="108" w:type="dxa"/>
                      <w:right w:w="108" w:type="dxa"/>
                    </w:tcMar>
                    <w:vAlign w:val="top"/>
                  </w:tcPr>
                  <w:p>
                    <w:pPr>
                      <w:spacing w:after="160"/>
                    </w:pPr>
                    <w:r>
                      <w:t xml:space="preserve">Aksjeselskap (AS)</w:t>
                    </w:r>
                  </w:p>
                </w:tc>
                <w:tc>
                  <w:tcPr>
                    <w:tcW w:w="3960" w:type="auto"/>
                    <w:tcMar>
                      <w:left w:w="108" w:type="dxa"/>
                      <w:right w:w="108" w:type="dxa"/>
                    </w:tcMar>
                    <w:vAlign w:val="top"/>
                  </w:tcPr>
                  <w:p>
                    <w:pPr>
                      <w:spacing w:after="160"/>
                    </w:pPr>
                    <w:r>
                      <w:t xml:space="preserve">Gir et selvstendig selskap og større organisatorisk avstand til kommunens linjeorganisasjon. Fremstår lite naturlig for en tjeneste tett knyttet til kommunale helse-/omsorgsoppgaver og lokal beredskap.</w:t>
                    </w:r>
                  </w:p>
                </w:tc>
              </w:tr>
              <w:tr>
                <w:trPr>
                  <w:tblCellSpacing w:w="0" w:type="dxa"/>
                </w:trPr>
                <w:tc>
                  <w:tcPr>
                    <w:tcW w:w="3960" w:type="auto"/>
                    <w:tcMar>
                      <w:left w:w="108" w:type="dxa"/>
                      <w:right w:w="108" w:type="dxa"/>
                    </w:tcMar>
                    <w:vAlign w:val="top"/>
                  </w:tcPr>
                  <w:p>
                    <w:pPr>
                      <w:spacing w:after="160"/>
                    </w:pPr>
                    <w:r>
                      <w:t xml:space="preserve">Interkommunalt selskap (IKS)</w:t>
                    </w:r>
                  </w:p>
                </w:tc>
                <w:tc>
                  <w:tcPr>
                    <w:tcW w:w="3960" w:type="auto"/>
                    <w:tcMar>
                      <w:left w:w="108" w:type="dxa"/>
                      <w:right w:w="108" w:type="dxa"/>
                    </w:tcMar>
                    <w:vAlign w:val="top"/>
                  </w:tcPr>
                  <w:p>
                    <w:pPr>
                      <w:spacing w:after="160"/>
                    </w:pPr>
                    <w:r>
                      <w:t xml:space="preserve">Gir tydelig interkommunal eierstyring, men fremstår mer omfattende enn nødvendig for en operativ tjeneste som allerede utføres i vertskommunens organisasjon og ikke forutsetter felles eierskap til større anlegg.</w:t>
                    </w:r>
                  </w:p>
                </w:tc>
              </w:tr>
              <w:tr>
                <w:trPr>
                  <w:tblCellSpacing w:w="0" w:type="dxa"/>
                </w:trPr>
                <w:tc>
                  <w:tcPr>
                    <w:tcW w:w="3960" w:type="auto"/>
                    <w:tcMar>
                      <w:left w:w="108" w:type="dxa"/>
                      <w:right w:w="108" w:type="dxa"/>
                    </w:tcMar>
                    <w:vAlign w:val="top"/>
                  </w:tcPr>
                  <w:p>
                    <w:pPr>
                      <w:spacing w:after="160"/>
                    </w:pPr>
                    <w:r>
                      <w:t xml:space="preserve">Kommunalt oppgavefellesskap</w:t>
                    </w:r>
                  </w:p>
                </w:tc>
                <w:tc>
                  <w:tcPr>
                    <w:tcW w:w="3960" w:type="auto"/>
                    <w:tcMar>
                      <w:left w:w="108" w:type="dxa"/>
                      <w:right w:w="108" w:type="dxa"/>
                    </w:tcMar>
                    <w:vAlign w:val="top"/>
                  </w:tcPr>
                  <w:p>
                    <w:pPr>
                      <w:spacing w:after="160"/>
                    </w:pPr>
                    <w:r>
                      <w:t xml:space="preserve">Kan gi felles styring, men innebærer en mer selvstendig samarbeidsstruktur enn det tjenestens operative karakter og dagens driftsmodell tilsier.</w:t>
                    </w:r>
                  </w:p>
                </w:tc>
              </w:tr>
              <w:tr>
                <w:trPr>
                  <w:tblCellSpacing w:w="0" w:type="dxa"/>
                </w:trPr>
                <w:tc>
                  <w:tcPr>
                    <w:tcW w:w="3960" w:type="auto"/>
                    <w:tcMar>
                      <w:left w:w="108" w:type="dxa"/>
                      <w:right w:w="108" w:type="dxa"/>
                    </w:tcMar>
                    <w:vAlign w:val="top"/>
                  </w:tcPr>
                  <w:p>
                    <w:pPr>
                      <w:spacing w:after="160"/>
                    </w:pPr>
                    <w:r>
                      <w:t xml:space="preserve">Vertskommunesamarbeid</w:t>
                    </w:r>
                  </w:p>
                </w:tc>
                <w:tc>
                  <w:tcPr>
                    <w:tcW w:w="3960" w:type="auto"/>
                    <w:tcMar>
                      <w:left w:w="108" w:type="dxa"/>
                      <w:right w:w="108" w:type="dxa"/>
                    </w:tcMar>
                    <w:vAlign w:val="top"/>
                  </w:tcPr>
                  <w:p>
                    <w:pPr>
                      <w:spacing w:after="160"/>
                    </w:pPr>
                    <w:r>
                      <w:t xml:space="preserve">Bygger på dagens reelle driftssituasjon, der Skien allerede utfører oppgavene og har arbeidsgiveransvar, kompetanse og infrastruktur. Gir grunnlag for avtalt tjenesteinnhold, finansiering og rapportering uten etablering av eget selskap.</w:t>
                    </w:r>
                  </w:p>
                </w:tc>
              </w:tr>
            </w:tbl>
            <w:p>
              <w:pPr>
                <w:spacing w:after="160"/>
              </w:pPr>
              <w:r>
                <w:rPr>
                  <w:b/>
                </w:rPr>
                <w:t xml:space="preserve">2.4 Anbefalt samarbeidsform – vertskommunesamarbeid</w:t>
              </w:r>
            </w:p>
            <w:p>
              <w:pPr>
                <w:spacing w:after="160"/>
              </w:pPr>
              <w:r>
                <w:t xml:space="preserve">Vertskommunesamarbeid er regulert i kommuneloven kapittel 20 og innebærer at én kommune utfører oppgaver på vegne av én eller flere samarbeidskommuner. Modellen etablerer ikke eget rettssubjekt, og er derfor godt tilpasset en situasjon der Skien kommune allerede står for drift, ansatte og infrastruktur.</w:t>
              </w:r>
            </w:p>
            <w:p>
              <w:pPr>
                <w:spacing w:after="160"/>
              </w:pPr>
              <w:r>
                <w:t xml:space="preserve">Det anbefales at administrasjonen arbeider videre med å etablere Alarmsentralen som vertskommunesamarbeid med Skien kommune som vertskommune. Utgangspunktet bør være administrativt vertskommunesamarbeid, ettersom tjenestene i hovedsak gjelder løpende tjenesteyting og operativ drift. I arbeidet med samarbeidsavtalen må det avklares om enkelte oppgaver eller delegasjoner krever en annen innretning, herunder vertskommunesamarbeid med felles folkevalgt nemnd.</w:t>
              </w:r>
            </w:p>
            <w:p>
              <w:pPr>
                <w:spacing w:after="160"/>
              </w:pPr>
              <w:r>
                <w:t xml:space="preserve">Vertskommunesamarbeid vurderes som mest hensiktsmessig fordi modellen:</w:t>
              </w:r>
            </w:p>
            <w:p>
              <w:pPr>
                <w:pStyle w:val="ListParagraph"/>
                <w:numPr>
                  <w:ilvl w:val="0"/>
                  <w:numId w:val="3"/>
                </w:numPr>
                <w:spacing w:after="160"/>
              </w:pPr>
              <w:r>
                <w:t xml:space="preserve">viderefører dagens operative organisering med Skien som utførende kommune</w:t>
              </w:r>
            </w:p>
            <w:p>
              <w:pPr>
                <w:pStyle w:val="ListParagraph"/>
                <w:numPr>
                  <w:ilvl w:val="0"/>
                  <w:numId w:val="3"/>
                </w:numPr>
                <w:spacing w:after="160"/>
              </w:pPr>
              <w:r>
                <w:t xml:space="preserve">gir tydelig rettslig og avtalemessig forankring etter gjeldende kommunelov</w:t>
              </w:r>
            </w:p>
            <w:p>
              <w:pPr>
                <w:pStyle w:val="ListParagraph"/>
                <w:numPr>
                  <w:ilvl w:val="0"/>
                  <w:numId w:val="3"/>
                </w:numPr>
                <w:spacing w:after="160"/>
              </w:pPr>
              <w:r>
                <w:t xml:space="preserve">unngår etablering av et eget selskap for en tjeneste som allerede er integrert i kommunens drift</w:t>
              </w:r>
            </w:p>
            <w:p>
              <w:pPr>
                <w:pStyle w:val="ListParagraph"/>
                <w:numPr>
                  <w:ilvl w:val="0"/>
                  <w:numId w:val="3"/>
                </w:numPr>
                <w:spacing w:after="160"/>
              </w:pPr>
              <w:r>
                <w:t xml:space="preserve">gir grunnlag for tydelig avtale om tjenesteinnhold, finansiering, rapportering og opptak av nye kommuner</w:t>
              </w:r>
            </w:p>
            <w:p>
              <w:pPr>
                <w:pStyle w:val="ListParagraph"/>
                <w:numPr>
                  <w:ilvl w:val="0"/>
                  <w:numId w:val="3"/>
                </w:numPr>
                <w:spacing w:after="160"/>
              </w:pPr>
              <w:r>
                <w:t xml:space="preserve">er egnet for et interkommunalt samarbeid om løpende tjenester</w:t>
              </w:r>
            </w:p>
            <w:p>
              <w:pPr>
                <w:spacing w:after="160"/>
              </w:pPr>
              <w:r>
                <w:rPr>
                  <w:b/>
                </w:rPr>
                <w:t xml:space="preserve">3. Videre oppfølging</w:t>
              </w:r>
            </w:p>
            <w:p>
              <w:pPr>
                <w:spacing w:after="160"/>
              </w:pPr>
              <w:r>
                <w:rPr>
                  <w:b/>
                </w:rPr>
                <w:t xml:space="preserve">3.1 Samarbeidsavtale</w:t>
              </w:r>
            </w:p>
            <w:p>
              <w:pPr>
                <w:spacing w:after="160"/>
              </w:pPr>
              <w:r>
                <w:t xml:space="preserve">Etablering av vertskommunesamarbeid forutsetter ny samarbeidsavtale med deltakerkommunene. Avtalen bør regulere:</w:t>
              </w:r>
            </w:p>
            <w:p>
              <w:pPr>
                <w:pStyle w:val="ListParagraph"/>
                <w:numPr>
                  <w:ilvl w:val="0"/>
                  <w:numId w:val="4"/>
                </w:numPr>
                <w:spacing w:after="160"/>
              </w:pPr>
              <w:r>
                <w:t xml:space="preserve">hvilke tjenester som inngår i samarbeidet</w:t>
              </w:r>
            </w:p>
            <w:p>
              <w:pPr>
                <w:pStyle w:val="ListParagraph"/>
                <w:numPr>
                  <w:ilvl w:val="0"/>
                  <w:numId w:val="4"/>
                </w:numPr>
                <w:spacing w:after="160"/>
              </w:pPr>
              <w:r>
                <w:t xml:space="preserve">vertskommunens og samarbeidskommunenes ansvar</w:t>
              </w:r>
            </w:p>
            <w:p>
              <w:pPr>
                <w:pStyle w:val="ListParagraph"/>
                <w:numPr>
                  <w:ilvl w:val="0"/>
                  <w:numId w:val="4"/>
                </w:numPr>
                <w:spacing w:after="160"/>
              </w:pPr>
              <w:r>
                <w:t xml:space="preserve">eventuell delegasjon av myndighet</w:t>
              </w:r>
            </w:p>
            <w:p>
              <w:pPr>
                <w:pStyle w:val="ListParagraph"/>
                <w:numPr>
                  <w:ilvl w:val="0"/>
                  <w:numId w:val="4"/>
                </w:numPr>
                <w:spacing w:after="160"/>
              </w:pPr>
              <w:r>
                <w:t xml:space="preserve">krav til kvalitet, dokumentasjon og rapportering</w:t>
              </w:r>
            </w:p>
            <w:p>
              <w:pPr>
                <w:pStyle w:val="ListParagraph"/>
                <w:numPr>
                  <w:ilvl w:val="0"/>
                  <w:numId w:val="4"/>
                </w:numPr>
                <w:spacing w:after="160"/>
              </w:pPr>
              <w:r>
                <w:t xml:space="preserve">finansierings- og prismodell</w:t>
              </w:r>
            </w:p>
            <w:p>
              <w:pPr>
                <w:pStyle w:val="ListParagraph"/>
                <w:numPr>
                  <w:ilvl w:val="0"/>
                  <w:numId w:val="4"/>
                </w:numPr>
                <w:spacing w:after="160"/>
              </w:pPr>
              <w:r>
                <w:t xml:space="preserve">håndtering av endringer i tjenesteporteføljen</w:t>
              </w:r>
            </w:p>
            <w:p>
              <w:pPr>
                <w:pStyle w:val="ListParagraph"/>
                <w:numPr>
                  <w:ilvl w:val="0"/>
                  <w:numId w:val="4"/>
                </w:numPr>
                <w:spacing w:after="160"/>
              </w:pPr>
              <w:r>
                <w:t xml:space="preserve">opptak av nye kommuner</w:t>
              </w:r>
            </w:p>
            <w:p>
              <w:pPr>
                <w:pStyle w:val="ListParagraph"/>
                <w:numPr>
                  <w:ilvl w:val="0"/>
                  <w:numId w:val="4"/>
                </w:numPr>
                <w:spacing w:after="160"/>
              </w:pPr>
              <w:r>
                <w:t xml:space="preserve">uttreden og oppsigelsesvilkår</w:t>
              </w:r>
            </w:p>
            <w:p>
              <w:pPr>
                <w:pStyle w:val="ListParagraph"/>
                <w:numPr>
                  <w:ilvl w:val="0"/>
                  <w:numId w:val="4"/>
                </w:numPr>
                <w:spacing w:after="160"/>
              </w:pPr>
              <w:r>
                <w:t xml:space="preserve">hvordan beredskapsoppgaver og eventuelle tilleggstjenester håndteres</w:t>
              </w:r>
            </w:p>
            <w:p>
              <w:pPr>
                <w:spacing w:after="160"/>
              </w:pPr>
              <w:r>
                <w:rPr>
                  <w:b/>
                </w:rPr>
                <w:t xml:space="preserve">3.2 Finansierings- og prismodell</w:t>
              </w:r>
            </w:p>
            <w:p>
              <w:pPr>
                <w:spacing w:after="160"/>
              </w:pPr>
              <w:r>
                <w:t xml:space="preserve">Dagens finansieringsmodell bør gjennomgås som del av ny samarbeidsavtale. Modellen bør tydelig skille mellom:</w:t>
              </w:r>
            </w:p>
            <w:p>
              <w:pPr>
                <w:pStyle w:val="ListParagraph"/>
                <w:numPr>
                  <w:ilvl w:val="0"/>
                  <w:numId w:val="5"/>
                </w:numPr>
                <w:spacing w:after="160"/>
              </w:pPr>
              <w:r>
                <w:t xml:space="preserve">grunnkapasitet og døgnbemanning</w:t>
              </w:r>
            </w:p>
            <w:p>
              <w:pPr>
                <w:pStyle w:val="ListParagraph"/>
                <w:numPr>
                  <w:ilvl w:val="0"/>
                  <w:numId w:val="5"/>
                </w:numPr>
                <w:spacing w:after="160"/>
              </w:pPr>
              <w:r>
                <w:t xml:space="preserve">tjenester som varierer med antall brukere eller aktivitet</w:t>
              </w:r>
            </w:p>
            <w:p>
              <w:pPr>
                <w:pStyle w:val="ListParagraph"/>
                <w:numPr>
                  <w:ilvl w:val="0"/>
                  <w:numId w:val="5"/>
                </w:numPr>
                <w:spacing w:after="160"/>
              </w:pPr>
              <w:r>
                <w:t xml:space="preserve">beredskapsfunksjoner</w:t>
              </w:r>
            </w:p>
            <w:p>
              <w:pPr>
                <w:pStyle w:val="ListParagraph"/>
                <w:numPr>
                  <w:ilvl w:val="0"/>
                  <w:numId w:val="5"/>
                </w:numPr>
                <w:spacing w:after="160"/>
              </w:pPr>
              <w:r>
                <w:t xml:space="preserve">tekniske og kommersielle tjenester, herunder hvordan inntekter fra disse bidrar til finansiering av døgnbemannet grunnkapasitet</w:t>
              </w:r>
            </w:p>
            <w:p>
              <w:pPr>
                <w:pStyle w:val="ListParagraph"/>
                <w:numPr>
                  <w:ilvl w:val="0"/>
                  <w:numId w:val="5"/>
                </w:numPr>
                <w:spacing w:after="160"/>
              </w:pPr>
              <w:r>
                <w:t xml:space="preserve">tjenester som eventuelt leveres til kommuner utenfor samarbeidet</w:t>
              </w:r>
            </w:p>
            <w:p>
              <w:pPr>
                <w:spacing w:after="160"/>
              </w:pPr>
              <w:r>
                <w:t xml:space="preserve">Agders prismodell, med priser knyttet til brukere og aktivitet for enkelte responssentertjenester, gir et relevant referansepunkt. Modellen kan likevel ikke overføres direkte, fordi Alarmsentralen har en bredere tjenesteportefølje og lokal beredskapsrolle.</w:t>
              </w:r>
            </w:p>
            <w:p>
              <w:pPr>
                <w:spacing w:after="160"/>
              </w:pPr>
              <w:r>
                <w:rPr>
                  <w:b/>
                </w:rPr>
                <w:t xml:space="preserve">3.3 Mulighet for nye deltakerkommuner</w:t>
              </w:r>
            </w:p>
            <w:p>
              <w:pPr>
                <w:spacing w:after="160"/>
              </w:pPr>
              <w:r>
                <w:t xml:space="preserve">En oppdatert samarbeidsform og en transparent prismodell vil gjøre det enklere å invitere nye kommuner inn i samarbeidet. Flere deltakerkommuner kan gi bedre utnyttelse av den døgnbemannede grunnkapasiteten og bredere kostnadsdeling.</w:t>
              </w:r>
            </w:p>
            <w:p>
              <w:pPr>
                <w:spacing w:after="160"/>
              </w:pPr>
              <w:r>
                <w:t xml:space="preserve">Eventuell utvidelse bør først vurderes etter at samarbeidsavtale og finansieringsmodell er avklart. Opptak av nye kommuner må vurderes konkret ut fra tjenesteomfang, kapasitet, økonomi og avtalevilkår.</w:t>
              </w:r>
            </w:p>
            <w:p>
              <w:pPr>
                <w:spacing w:after="160"/>
              </w:pPr>
              <w:r>
                <w:t xml:space="preserve">Forholdet til ansatte</w:t>
              </w:r>
            </w:p>
            <w:p>
              <w:pPr>
                <w:spacing w:after="160"/>
              </w:pPr>
              <w:r>
                <w:t xml:space="preserve">Anbefalingen innebærer at Alarmsentralen videreføres med Skien kommune som vertskommune. Den innebærer dermed ikke i seg selv virksomhetsoverdragelse eller endring av arbeidsgiveransvaret for ansatte i Alarmsentralen. Eventuelle senere endringer i tjenesteportefølje eller organisering må behandles etter ordinære medbestemmelsesprosesser.</w:t>
              </w:r>
            </w:p>
            <w:p>
              <w:pPr>
                <w:spacing w:after="160"/>
              </w:pPr>
              <w:r>
                <w:br/>
              </w:r>
              <w:r>
                <w:rPr>
                  <w:b/>
                </w:rPr>
                <w:t xml:space="preserve">Effekten av saken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Anbefalt løsning vurderes å ha en forventet positiv økonomisk effekt i et langt perspektiv. Vurderingen bygger på at videreføring av Alarmsentralen opprettholder muligheten for synergieffekter i den døgnbemannede grunnkapasiteten, samtidig som en oppdatert samarbeids- og finansieringsmodell kan gi bedre kostnadsfordeling og legge til rette for eventuelle nye deltakerkommuner. Effekten er ikke beregnet som en sikker innsparing og vil avhenge av den videre utformingen av samarbeidsavtale, finansieringsmodell og tjenesteportefølje.</w:t>
              </w:r>
            </w:p>
            <w:p>
              <w:pPr>
                <w:spacing w:after="160"/>
              </w:pPr>
              <w:r>
                <w:br/>
              </w:r>
              <w:r>
                <w:rPr>
                  <w:b/>
                </w:rPr>
                <w:t xml:space="preserve">Kommunedirektørens vurdering og konklusjon</w:t>
              </w:r>
              <w:r>
                <w:br/>
              </w:r>
              <w:r>
                <w:t xml:space="preserve">Alarmsentralen ivaretar en bred døgnbemannet funksjon for deltakerkommunene. Kartleggingen viser at trygghetsalarm er den største enkeltaktiviteten i sentralens registrerte tidsbruk, og dermed et relevant område for en overordnet økonomisk sammenligning.</w:t>
              </w:r>
            </w:p>
            <w:p>
              <w:pPr>
                <w:spacing w:after="160"/>
              </w:pPr>
              <w:r>
                <w:t xml:space="preserve">Den økonomiske sammenligningen av trygghetsalarm viser at det finnes eksterne priser for deler av Alarmsentralens kjernevirksomhet, men også at prisene ikke kan sammenlignes direkte uten å ta hensyn til finansieringsmodellen. Skien har avviklet egenbetaling for trygghetsalarm, mens Agder har opplyst at egenbetaling fortsatt inngår i trygghetsalarmordningen hos deres kommuner. Det er derfor ikke sannsynliggjort at ekstern levering ville gitt lavere netto kostnad for Skien kommune.</w:t>
              </w:r>
            </w:p>
            <w:p>
              <w:pPr>
                <w:spacing w:after="160"/>
              </w:pPr>
              <w:r>
                <w:t xml:space="preserve">Vurderingen må også ta hensyn til at Alarmsentralen er en døgnbemannet funksjon som benytter samme grunnkapasitet til flere oppgaver. Trygghetsalarm, telefonmottak og beredskapsoppgaver inngår i en samlet driftsmodell sammen med inntektsgivende tekniske og kommersielle alarmtjenester. Modellen gir dermed mulighet for å utnytte tilgjengelig kapasitet effektivt og samtidig opprettholde en lokal beredskapsfunksjon. Disse forholdene fanges ikke opp i en isolert prissammenligning av responssentertjenester.</w:t>
              </w:r>
            </w:p>
            <w:p>
              <w:pPr>
                <w:spacing w:after="160"/>
              </w:pPr>
              <w:r>
                <w:t xml:space="preserve"> Alarmsentralens samlede funksjon omfatter dessuten tjenester som ikke er direkte priset eller sammenlignbare med Agders responssentertjenester, blant annet telefonmottak, tekniske og kommersielle tjenester og lokal beredskapsfunksjon. På dette grunnlaget anbefales det ikke å konkurranseutsette Alarmsentralen samlet.</w:t>
              </w:r>
            </w:p>
            <w:p>
              <w:pPr>
                <w:spacing w:after="160"/>
              </w:pPr>
              <w:r>
                <w:t xml:space="preserve">Samtidig bør det interkommunale samarbeidet forankres i en oppdatert samarbeidsform etter gjeldende kommunelov. Vertskommunesamarbeid med Skien kommune som vertskommune viderefører dagens operative modell, samtidig som det gir grunnlag for tydeligere avtaler om tjenesteinnhold, økonomi, rapportering og mulig fremtidig utvidelse.</w:t>
              </w:r>
            </w:p>
            <w:p>
              <w:pPr>
                <w:spacing w:after="160"/>
              </w:pPr>
              <w:r>
                <w:t xml:space="preserve">Kommunedirektøren anbefaler derfor at Alarmsentralen videreføres i kommunal/interkommunal regi, og at administrasjonen arbeider videre med å etablere et vertskommunesamarbeid og legge fram nødvendig samarbeidsavtale og finansieringsmodell for senere politisk behandling.</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65bf00348e5c41e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Alarmsentralen Telemark – videreføring og valg av samarbeidsform</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