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24/2844</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18</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Hilde Marianne Kristoffersen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08.06.2026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Status psykisk helse og livsmestring juni 2026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Utvalg for helse og mestring tar saken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Utvalg for helse og mestring har bedt om jevnlig oppdatering av status på ventelister innen psykisk helse.</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Enhet for Psykisk helse og livsmestring har rapportert på status for ventelister siden enheten startet sin planlagt dreining av tjenestene våren 2024. Dagens tilbud ble offisielt åpnet i februar 2025 og arbeidet med å dreie tjenestene og videreutvikle disse er og vil være en kontinuerlig prosess framover. Endringene gjøres med mål om å redusere ventelister og for å møte framtidens behov for et økende behov for psykisk helsehjelp. </w:t>
              </w:r>
              <w:r>
                <w:br/>
              </w:r>
              <w:r>
                <w:t xml:space="preserve">Det jobbes kontinuerlig med å finne rett nivå på den tjenesten som hver enkelt er i behov av i forhold til innsatstrappen som er utviklet for Skien kommune (Agenda Kaupang).</w:t>
              </w:r>
            </w:p>
            <w:p>
              <w:pPr>
                <w:spacing w:after="160"/>
              </w:pPr>
              <w:r>
                <w:rPr>
                  <w:b/>
                </w:rPr>
                <w:t xml:space="preserve">Status ventelister</w:t>
              </w:r>
              <w:r>
                <w:br/>
              </w:r>
              <w:r>
                <w:t xml:space="preserve">Ventetiden og antall personer på venteliste har falt og var i april lavest siden 2022. Vi kan nå se at lavterskel inngang til tjenestetilbudet, drop in og gruppetilbudet har bidratt til lavere ventetid i enheten. Enheten jobber videre med å evaluere disse tilbudene for å fortsatt sikre kvalitet i hjelpa. Spesielt er drop in tilbudet nytt og det er viktig for enheten å tett følge med på utviklingen av tilbudet. Enheten samarbeider spesielt med Psykisk helse i Lillestrøm kommune i utvikling av drop in tilbudet. </w:t>
              </w:r>
            </w:p>
            <w:tbl>
              <w:tblPr>
                <w:tblStyle w:val="TableGrid"/>
                <w:tblW w:w="0" w:type="auto"/>
                <w:tblLook w:firstRow="false" w:lastRow="false" w:firstColumn="false" w:lastColumn="false"/>
              </w:tblPr>
              <w:tblGrid>
                <w:gridCol/>
                <w:gridCol/>
                <w:gridCol/>
                <w:gridCol/>
                <w:gridCol/>
                <w:gridCol/>
                <w:gridCol/>
                <w:gridCol/>
              </w:tblGrid>
              <w:tr>
                <w:trPr>
                  <w:tblCellSpacing w:w="0" w:type="dxa"/>
                </w:trPr>
                <w:tc>
                  <w:tcPr>
                    <w:tcW w:w="2200" w:type="auto"/>
                    <w:tcMar/>
                    <w:vAlign w:val="top"/>
                  </w:tcPr>
                  <w:p>
                    <w:pPr>
                      <w:spacing w:after="160"/>
                    </w:pPr>
                    <w:r>
                      <w:t xml:space="preserve">2025/2026 </w:t>
                    </w:r>
                  </w:p>
                </w:tc>
                <w:tc>
                  <w:tcPr>
                    <w:tcW w:w="1140" w:type="auto"/>
                    <w:tcBorders>
                      <w:top w:val="single" w:color="000000" w:sz="0"/>
                      <w:left w:val="none" w:color="000000" w:sz="0"/>
                      <w:bottom w:val="single" w:color="000000" w:sz="0"/>
                      <w:right w:val="single" w:color="000000" w:sz="0"/>
                    </w:tcBorders>
                    <w:tcMar/>
                    <w:vAlign w:val="top"/>
                  </w:tcPr>
                  <w:p>
                    <w:pPr>
                      <w:spacing w:after="160"/>
                    </w:pPr>
                    <w:r>
                      <w:t xml:space="preserve">November </w:t>
                    </w:r>
                  </w:p>
                </w:tc>
                <w:tc>
                  <w:tcPr>
                    <w:tcW w:w="1180" w:type="auto"/>
                    <w:tcBorders>
                      <w:top w:val="single" w:color="000000" w:sz="0"/>
                      <w:left w:val="none" w:color="000000" w:sz="0"/>
                      <w:bottom w:val="single" w:color="000000" w:sz="0"/>
                      <w:right w:val="single" w:color="000000" w:sz="0"/>
                    </w:tcBorders>
                    <w:tcMar/>
                    <w:vAlign w:val="top"/>
                  </w:tcPr>
                  <w:p>
                    <w:pPr>
                      <w:spacing w:after="160"/>
                    </w:pPr>
                    <w:r>
                      <w:t xml:space="preserve">Desember </w:t>
                    </w:r>
                  </w:p>
                </w:tc>
                <w:tc>
                  <w:tcPr>
                    <w:tcW w:w="980" w:type="auto"/>
                    <w:tcBorders>
                      <w:top w:val="single" w:color="000000" w:sz="0"/>
                      <w:left w:val="none" w:color="000000" w:sz="0"/>
                      <w:bottom w:val="single" w:color="000000" w:sz="0"/>
                      <w:right w:val="single" w:color="000000" w:sz="0"/>
                    </w:tcBorders>
                    <w:tcMar/>
                    <w:vAlign w:val="top"/>
                  </w:tcPr>
                  <w:p>
                    <w:pPr>
                      <w:spacing w:after="160"/>
                    </w:pPr>
                    <w:r>
                      <w:t xml:space="preserve">Januar </w:t>
                    </w:r>
                  </w:p>
                </w:tc>
                <w:tc>
                  <w:tcPr>
                    <w:tcW w:w="980" w:type="auto"/>
                    <w:tcBorders>
                      <w:top w:val="single" w:color="000000" w:sz="0"/>
                      <w:left w:val="none" w:color="000000" w:sz="0"/>
                      <w:bottom w:val="single" w:color="000000" w:sz="0"/>
                      <w:right w:val="single" w:color="000000" w:sz="0"/>
                    </w:tcBorders>
                    <w:tcMar/>
                    <w:vAlign w:val="top"/>
                  </w:tcPr>
                  <w:p>
                    <w:pPr>
                      <w:spacing w:after="160"/>
                    </w:pPr>
                    <w:r>
                      <w:t xml:space="preserve">Februar </w:t>
                    </w:r>
                  </w:p>
                </w:tc>
                <w:tc>
                  <w:tcPr>
                    <w:tcW w:w="840" w:type="auto"/>
                    <w:tcBorders>
                      <w:top w:val="single" w:color="000000" w:sz="0"/>
                      <w:left w:val="none" w:color="000000" w:sz="0"/>
                      <w:bottom w:val="single" w:color="000000" w:sz="0"/>
                      <w:right w:val="single" w:color="000000" w:sz="0"/>
                    </w:tcBorders>
                    <w:tcMar/>
                    <w:vAlign w:val="top"/>
                  </w:tcPr>
                  <w:p>
                    <w:pPr>
                      <w:spacing w:after="160"/>
                    </w:pPr>
                    <w:r>
                      <w:t xml:space="preserve">Mars</w:t>
                    </w:r>
                  </w:p>
                </w:tc>
                <w:tc>
                  <w:tcPr>
                    <w:tcW w:w="840" w:type="auto"/>
                    <w:tcBorders>
                      <w:top w:val="single" w:color="000000" w:sz="0"/>
                      <w:left w:val="none" w:color="000000" w:sz="0"/>
                      <w:bottom w:val="single" w:color="000000" w:sz="0"/>
                      <w:right w:val="single" w:color="000000" w:sz="0"/>
                    </w:tcBorders>
                    <w:tcMar/>
                    <w:vAlign w:val="top"/>
                  </w:tcPr>
                  <w:p>
                    <w:pPr>
                      <w:spacing w:after="160"/>
                    </w:pPr>
                    <w:r>
                      <w:t xml:space="preserve">April</w:t>
                    </w:r>
                  </w:p>
                </w:tc>
                <w:tc>
                  <w:tcPr>
                    <w:tcW w:w="840" w:type="auto"/>
                    <w:tcBorders>
                      <w:top w:val="single" w:color="000000" w:sz="0"/>
                      <w:left w:val="none" w:color="000000" w:sz="0"/>
                      <w:bottom w:val="single" w:color="000000" w:sz="0"/>
                      <w:right w:val="single" w:color="000000" w:sz="0"/>
                    </w:tcBorders>
                    <w:tcMar/>
                    <w:vAlign w:val="top"/>
                  </w:tcPr>
                  <w:p>
                    <w:pPr>
                      <w:spacing w:after="160"/>
                    </w:pPr>
                    <w:r>
                      <w:t xml:space="preserve">Mai</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Henvendelser totalt pr mnd.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129 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109 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157 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115 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136</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103</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103</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Mottatt tilbud om psykisk helsehjelp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83 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67 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107 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79 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100</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79</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75</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Råd og veiledning på telefon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46 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42 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50 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36 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39</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24</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28</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Antall gruppedeltakere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38 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41 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43 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39 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43</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41</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37</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Drop in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35 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39 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53 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46 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51</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47</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41</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Individuell samtalebehandling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51 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30 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42 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36 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27</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17</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24</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Totalt på venteliste hele enheten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63 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65 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53 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50 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25</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19</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33</w:t>
                    </w:r>
                  </w:p>
                </w:tc>
              </w:tr>
              <w:tr>
                <w:trPr>
                  <w:tblCellSpacing w:w="0" w:type="dxa"/>
                </w:trPr>
                <w:tc>
                  <w:tcPr>
                    <w:tcW w:w="2200" w:type="auto"/>
                    <w:tcBorders>
                      <w:top w:val="none" w:color="000000" w:sz="0"/>
                      <w:left w:val="single" w:color="000000" w:sz="0"/>
                      <w:bottom w:val="single" w:color="000000" w:sz="0"/>
                      <w:right w:val="single" w:color="000000" w:sz="0"/>
                    </w:tcBorders>
                    <w:tcMar/>
                    <w:vAlign w:val="top"/>
                  </w:tcPr>
                  <w:p>
                    <w:pPr>
                      <w:spacing w:after="160"/>
                    </w:pPr>
                    <w:r>
                      <w:t xml:space="preserve">Ventetid i uker på individuell samtalebehandling </w:t>
                    </w:r>
                  </w:p>
                </w:tc>
                <w:tc>
                  <w:tcPr>
                    <w:tcW w:w="1140" w:type="auto"/>
                    <w:tcBorders>
                      <w:top w:val="none" w:color="000000" w:sz="0"/>
                      <w:left w:val="none" w:color="000000" w:sz="0"/>
                      <w:bottom w:val="single" w:color="000000" w:sz="4"/>
                      <w:right w:val="single" w:color="000000" w:sz="4"/>
                    </w:tcBorders>
                    <w:tcMar/>
                    <w:vAlign w:val="top"/>
                  </w:tcPr>
                  <w:p>
                    <w:pPr>
                      <w:spacing w:after="160"/>
                    </w:pPr>
                    <w:r>
                      <w:t xml:space="preserve">5 </w:t>
                    </w:r>
                  </w:p>
                </w:tc>
                <w:tc>
                  <w:tcPr>
                    <w:tcW w:w="1180" w:type="auto"/>
                    <w:tcBorders>
                      <w:top w:val="none" w:color="000000" w:sz="0"/>
                      <w:left w:val="none" w:color="000000" w:sz="0"/>
                      <w:bottom w:val="single" w:color="000000" w:sz="4"/>
                      <w:right w:val="single" w:color="000000" w:sz="4"/>
                    </w:tcBorders>
                    <w:tcMar/>
                    <w:vAlign w:val="top"/>
                  </w:tcPr>
                  <w:p>
                    <w:pPr>
                      <w:spacing w:after="160"/>
                    </w:pPr>
                    <w:r>
                      <w:t xml:space="preserve">7 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5 </w:t>
                    </w:r>
                  </w:p>
                </w:tc>
                <w:tc>
                  <w:tcPr>
                    <w:tcW w:w="980" w:type="auto"/>
                    <w:tcBorders>
                      <w:top w:val="none" w:color="000000" w:sz="0"/>
                      <w:left w:val="none" w:color="000000" w:sz="0"/>
                      <w:bottom w:val="single" w:color="000000" w:sz="4"/>
                      <w:right w:val="single" w:color="000000" w:sz="4"/>
                    </w:tcBorders>
                    <w:tcMar/>
                    <w:vAlign w:val="top"/>
                  </w:tcPr>
                  <w:p>
                    <w:pPr>
                      <w:spacing w:after="160"/>
                    </w:pPr>
                    <w:r>
                      <w:t xml:space="preserve">4 </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3</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3</w:t>
                    </w:r>
                  </w:p>
                </w:tc>
                <w:tc>
                  <w:tcPr>
                    <w:tcW w:w="840" w:type="auto"/>
                    <w:tcBorders>
                      <w:top w:val="none" w:color="000000" w:sz="0"/>
                      <w:left w:val="none" w:color="000000" w:sz="0"/>
                      <w:bottom w:val="single" w:color="000000" w:sz="4"/>
                      <w:right w:val="single" w:color="000000" w:sz="4"/>
                    </w:tcBorders>
                    <w:tcMar/>
                    <w:vAlign w:val="top"/>
                  </w:tcPr>
                  <w:p>
                    <w:pPr>
                      <w:spacing w:after="160"/>
                    </w:pPr>
                    <w:r>
                      <w:t xml:space="preserve">4</w:t>
                    </w:r>
                  </w:p>
                </w:tc>
              </w:tr>
            </w:tbl>
            <w:p>
              <w:pPr>
                <w:spacing w:after="160"/>
              </w:pPr>
              <w:r>
                <w:br/>
              </w:r>
              <w:r>
                <w:t xml:space="preserve">Ventetiden er beregnet ut i fra ventetid på individuell samtalebehandling og forløp. Ventetiden kan da være ulik ut ifra alvorlighetsgrad. Drop-in tilbudet gir psykisk helsehjelp til mennesker som ellers ville fått tilbud om individuelle forløp. Gruppetilbudet styres ut ifra behov og pågang. Alle klienter får tilbud om selvhjelpsmateriale, samt tilsendt arbeidshefte og tilbud om kurs i ventetiden. Det jobbes fortsatt aktivt med både inntak og avslutning av tjenester</w:t>
              </w:r>
              <w:r>
                <w:br/>
              </w: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Enheten har fra februar 2025, et tjenestetilbud som tilsvarer en Hjelpa-kommune (hjelpsom hjelper) og jobber aktivt med tjenesteutvikling og dreining av driften i enheten. Dette arbeidet er en kontinuerlig prosess som pågår i enheten. </w:t>
              </w:r>
            </w:p>
            <w:p>
              <w:pPr>
                <w:spacing w:after="160"/>
              </w:pPr>
              <w:r>
                <w:t xml:space="preserve">Ventetiden og antall personer på venteliste har falt og var i april lavest siden 2022. Dreiningen av tjenestetilbudet med en lavterskel inngang til tjenestetilbudet, drop in og gruppetilbudet har bidratt til lavere ventetid i enheten. Enheten jobber videre med å evaluere disse tilbudene og for å sikre kvalitet i tjenestetilbudet. Det jobbes fortsatt aktivt med både inntak og avslutning av tjenester.</w:t>
              </w:r>
            </w:p>
            <w:p>
              <w:pPr>
                <w:spacing w:after="160"/>
              </w:pPr>
              <w:r>
                <w:t xml:space="preserve">Enheten har oppdaterte nettsider med både informasjon og selvhjelps materiale. Enheten samarbeider med andre sammenlignbare kommuner og følger den nasjonale utviklingen</w:t>
              </w:r>
            </w:p>
            <w:p>
              <w:pPr>
                <w:spacing w:after="160"/>
              </w:pPr>
              <w:r>
                <w:br/>
              </w:r>
              <w:r>
                <w:rPr>
                  <w:b/>
                </w:rPr>
                <w:t xml:space="preserve">Referanser</w:t>
              </w:r>
            </w:p>
            <w:p>
              <w:pPr>
                <w:spacing w:after="160"/>
              </w:pPr>
              <w:hyperlink w:history="true" r:id="Rd3ecf150e9e1479f">
                <w:r>
                  <w:rPr>
                    <w:rStyle w:val="Hyperlink"/>
                    <w:b/>
                  </w:rPr>
                  <w:t xml:space="preserve">https://www.skien.kommune.no/helse-og-mestring/psykisk-helse-og-avhengighet/psykisk-helse-og-livsmestring/</w:t>
                </w:r>
              </w:hyperlink>
            </w:p>
            <w:p>
              <w:pPr>
                <w:spacing w:after="160"/>
              </w:pP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hyperlink" Target="https://www.skien.kommune.no/helse-og-mestring/psykisk-helse-og-avhengighet/psykisk-helse-og-livsmestring/" TargetMode="External" Id="Rd3ecf150e9e147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Status psykisk helse og livsmestring juni 2026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