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26/14487</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2</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Geir Gjelstad</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17.08.2026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helse og mestring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Høringsuttalelse til NOU 2026 : 6 Den nye velferdskommunen</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r>
                <w:br/>
              </w:r>
              <w:r>
                <w:t xml:space="preserve">Skien kommune avgir høringsuttalelse til NOU 2026:6.</w:t>
              </w:r>
              <w:r>
                <w:rPr>
                  <w:i/>
                </w:rPr>
                <w:t xml:space="preserve"> Den nye velferdskommunen</w:t>
              </w:r>
              <w:r>
                <w:t xml:space="preserve"> i tråd med vurderingene i saken.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Høringen ble sendt ut 10. juni 2026, med høringsfrist 20. september 2026. Utredningen bygger på at framtidens helse-, omsorgs- og velferdstjenester fortsatt skal være universelle og et offentlig ansvar, men at tjenestene må utvikles på nye måter og i sterkere samarbeid med innbyggere, frivillighet, pårørende, ideelle aktører og næringsliv.</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NOU 2026:6 bygger videre på en rekke sentrale utredninger fra de senere årene. Den kan leses som et forsøk på å svare på spørsmålet om </w:t>
              </w:r>
              <w:r>
                <w:rPr>
                  <w:i/>
                </w:rPr>
                <w:t xml:space="preserve">hvordan</w:t>
              </w:r>
              <w:r>
                <w:t xml:space="preserve"> kommunene skal lykkes med omstillingen som andre utredninger har beskrevet som nødvendig. Særlig bygger den på Helsepersonellkommisjonen (NOU 2023:4, </w:t>
              </w:r>
              <w:r>
                <w:rPr>
                  <w:i/>
                </w:rPr>
                <w:t xml:space="preserve">Tid for handling</w:t>
              </w:r>
              <w:r>
                <w:t xml:space="preserve">), som konkluderte med at Norge ikke kan bemanne seg ut av framtidens omsorgsbehov, og på Perspektivmeldingen 2024, som peker på at økende offentlige utgifter og en aldrende befolkning vil redusere det økonomiske handlingsrommet framover. Utredningen bygger også på Kommunekommisjonens første delrapport (NOU 2026:1), som beskriver kommunesektorens kapasitets- og bærekraftsutfordringer, samt Generalistkommuneutvalgets analyser av kommune-Norge.</w:t>
              </w:r>
            </w:p>
            <w:p>
              <w:pPr>
                <w:spacing w:after="160"/>
              </w:pPr>
              <w:r>
                <w:t xml:space="preserve">Der tidligere utredninger i stor grad har dokumentert utfordringsbildet, forsøker «Den nye velferdskommunen» å beskrive et omstillingsspor. Det sentrale bidraget i NOU 2026:6 er først og fremst at den flytter oppmerksomheten fra </w:t>
              </w:r>
              <w:r>
                <w:rPr>
                  <w:i/>
                </w:rPr>
                <w:t xml:space="preserve">hva </w:t>
              </w:r>
              <w:r>
                <w:t xml:space="preserve">utfordringene er til </w:t>
              </w:r>
              <w:r>
                <w:rPr>
                  <w:i/>
                </w:rPr>
                <w:t xml:space="preserve">hvordan</w:t>
              </w:r>
              <w:r>
                <w:t xml:space="preserve"> kommuner, stat, frivillighet, næringsliv og innbyggere sammen kan skape bærekraftige løsninger.</w:t>
              </w:r>
            </w:p>
            <w:p>
              <w:pPr>
                <w:spacing w:after="160"/>
              </w:pPr>
              <w:r>
                <w:t xml:space="preserve">Utvalget argumenterer for at omstilling nå haster, og at innovasjon og samskaping ikke lenger bør betraktes som utviklingsarbeid på siden av ordinær drift, men som en forutsetning for å opprettholde velferdsmodellen</w:t>
              </w:r>
            </w:p>
            <w:p>
              <w:pPr>
                <w:spacing w:after="160"/>
              </w:pPr>
              <w:r>
                <w:rPr>
                  <w:u w:val="single"/>
                </w:rPr>
                <w:t xml:space="preserve">Hovedbudskap</w:t>
              </w:r>
            </w:p>
            <w:p>
              <w:pPr>
                <w:spacing w:after="160"/>
              </w:pPr>
              <w:r>
                <w:t xml:space="preserve">Utvalget bak NOU’en mener at framtidens velferd ikke kan sikres ved å bygge ut dagens tjenester alene. Velferd må i større grad skapes i samspill mellom:</w:t>
              </w:r>
            </w:p>
            <w:p>
              <w:pPr>
                <w:pStyle w:val="ListParagraph"/>
                <w:numPr>
                  <w:ilvl w:val="0"/>
                  <w:numId w:val="1"/>
                </w:numPr>
                <w:spacing w:after="160"/>
              </w:pPr>
              <w:r>
                <w:t xml:space="preserve">kommunen</w:t>
              </w:r>
            </w:p>
            <w:p>
              <w:pPr>
                <w:pStyle w:val="ListParagraph"/>
                <w:numPr>
                  <w:ilvl w:val="0"/>
                  <w:numId w:val="1"/>
                </w:numPr>
                <w:spacing w:after="160"/>
              </w:pPr>
              <w:r>
                <w:t xml:space="preserve">innbyggerne</w:t>
              </w:r>
            </w:p>
            <w:p>
              <w:pPr>
                <w:pStyle w:val="ListParagraph"/>
                <w:numPr>
                  <w:ilvl w:val="0"/>
                  <w:numId w:val="1"/>
                </w:numPr>
                <w:spacing w:after="160"/>
              </w:pPr>
              <w:r>
                <w:t xml:space="preserve">pårørende</w:t>
              </w:r>
            </w:p>
            <w:p>
              <w:pPr>
                <w:pStyle w:val="ListParagraph"/>
                <w:numPr>
                  <w:ilvl w:val="0"/>
                  <w:numId w:val="1"/>
                </w:numPr>
                <w:spacing w:after="160"/>
              </w:pPr>
              <w:r>
                <w:t xml:space="preserve">frivilligheten</w:t>
              </w:r>
            </w:p>
            <w:p>
              <w:pPr>
                <w:pStyle w:val="ListParagraph"/>
                <w:numPr>
                  <w:ilvl w:val="0"/>
                  <w:numId w:val="1"/>
                </w:numPr>
                <w:spacing w:after="160"/>
              </w:pPr>
              <w:r>
                <w:t xml:space="preserve">ideell sektor</w:t>
              </w:r>
            </w:p>
            <w:p>
              <w:pPr>
                <w:pStyle w:val="ListParagraph"/>
                <w:numPr>
                  <w:ilvl w:val="0"/>
                  <w:numId w:val="1"/>
                </w:numPr>
                <w:spacing w:after="160"/>
              </w:pPr>
              <w:r>
                <w:t xml:space="preserve">næringslivet</w:t>
              </w:r>
            </w:p>
            <w:p>
              <w:pPr>
                <w:pStyle w:val="ListParagraph"/>
                <w:numPr>
                  <w:ilvl w:val="0"/>
                  <w:numId w:val="1"/>
                </w:numPr>
                <w:spacing w:after="160"/>
              </w:pPr>
              <w:r>
                <w:t xml:space="preserve">forskningsmiljøer</w:t>
              </w:r>
            </w:p>
            <w:p>
              <w:pPr>
                <w:spacing w:after="160"/>
              </w:pPr>
              <w:r>
                <w:t xml:space="preserve">Kommunen skal fortsatt ha hovedansvaret, men må bli bedre til å mobilisere ressursene som finnes rundt tjenestene.</w:t>
              </w:r>
            </w:p>
            <w:p>
              <w:pPr>
                <w:spacing w:after="160"/>
              </w:pPr>
              <w:r>
                <w:rPr>
                  <w:u w:val="single"/>
                </w:rPr>
                <w:t xml:space="preserve">Utvalgets forslag til tre hovedgrep</w:t>
              </w:r>
            </w:p>
            <w:p>
              <w:pPr>
                <w:spacing w:after="160"/>
              </w:pPr>
              <w:r>
                <w:rPr>
                  <w:b/>
                </w:rPr>
                <w:t xml:space="preserve">1. </w:t>
              </w:r>
              <w:r>
                <w:t xml:space="preserve">Et nasjonalt samfunnsoppdrag for framtidens velferd</w:t>
              </w:r>
            </w:p>
            <w:p>
              <w:pPr>
                <w:spacing w:after="160"/>
              </w:pPr>
              <w:r>
                <w:t xml:space="preserve">Regjeringen bør etablere et tiårig, tverrsektorielt samfunnsoppdrag med mål om:</w:t>
              </w:r>
            </w:p>
            <w:p>
              <w:pPr>
                <w:pStyle w:val="ListParagraph"/>
                <w:numPr>
                  <w:ilvl w:val="0"/>
                  <w:numId w:val="2"/>
                </w:numPr>
                <w:spacing w:after="160"/>
              </w:pPr>
              <w:r>
                <w:t xml:space="preserve">å redusere og utsette behovet for velferdstjenester gjennom forebygging</w:t>
              </w:r>
            </w:p>
            <w:p>
              <w:pPr>
                <w:pStyle w:val="ListParagraph"/>
                <w:numPr>
                  <w:ilvl w:val="0"/>
                  <w:numId w:val="2"/>
                </w:numPr>
                <w:spacing w:after="160"/>
              </w:pPr>
              <w:r>
                <w:t xml:space="preserve">å øke kapasiteten i velferdstjenestene gjennom bedre bruk av samfunnets samlede ressurser</w:t>
              </w:r>
            </w:p>
            <w:p>
              <w:pPr>
                <w:spacing w:after="160"/>
              </w:pPr>
              <w:r>
                <w:t xml:space="preserve">Utvalget mener utfordringene er så komplekse at de må håndteres som et samlet nasjonalt oppdrag på tvers av sektorer og forvaltningsnivåer.</w:t>
              </w:r>
            </w:p>
            <w:p>
              <w:pPr>
                <w:spacing w:after="160"/>
              </w:pPr>
              <w:r>
                <w:t xml:space="preserve">2. Ett praksisnært program for «Den nye velferdskommunen»</w:t>
              </w:r>
            </w:p>
            <w:p>
              <w:pPr>
                <w:spacing w:after="160"/>
              </w:pPr>
              <w:r>
                <w:t xml:space="preserve">Utvalget foreslår et nytt statlig program som skal gi kommunene større handlingsrom til innovasjon og omstilling. Programmet skal ha tre satsingsområder:</w:t>
              </w:r>
            </w:p>
            <w:p>
              <w:pPr>
                <w:pStyle w:val="ListParagraph"/>
                <w:numPr>
                  <w:ilvl w:val="0"/>
                  <w:numId w:val="3"/>
                </w:numPr>
                <w:spacing w:after="160"/>
              </w:pPr>
              <w:r>
                <w:t xml:space="preserve">helsefremmende og forebyggende innsats</w:t>
              </w:r>
            </w:p>
            <w:p>
              <w:pPr>
                <w:pStyle w:val="ListParagraph"/>
                <w:numPr>
                  <w:ilvl w:val="0"/>
                  <w:numId w:val="3"/>
                </w:numPr>
                <w:spacing w:after="160"/>
              </w:pPr>
              <w:r>
                <w:t xml:space="preserve">nye modeller for organisering og arbeidsdeling</w:t>
              </w:r>
            </w:p>
            <w:p>
              <w:pPr>
                <w:pStyle w:val="ListParagraph"/>
                <w:numPr>
                  <w:ilvl w:val="0"/>
                  <w:numId w:val="3"/>
                </w:numPr>
                <w:spacing w:after="160"/>
              </w:pPr>
              <w:r>
                <w:t xml:space="preserve">nye boformer, velferdsteknologi og digitale løsninger</w:t>
              </w:r>
            </w:p>
            <w:p>
              <w:pPr>
                <w:spacing w:after="160"/>
              </w:pPr>
              <w:r>
                <w:t xml:space="preserve">Programmet foreslås finansiert med minst 2 milliarder kroner, på sikt opp mot 1 prosent av kommunenes samlede inntekter.</w:t>
              </w:r>
            </w:p>
            <w:p>
              <w:pPr>
                <w:spacing w:after="160"/>
              </w:pPr>
              <w:r>
                <w:t xml:space="preserve">3. Fra pilot til skalering</w:t>
              </w:r>
            </w:p>
            <w:p>
              <w:pPr>
                <w:spacing w:after="160"/>
              </w:pPr>
              <w:r>
                <w:t xml:space="preserve">Utvalget er kritisk til det de kaller «pilotsyke»; gode løsninger prøves ut, men blir ikke innført i ordinær drift eller spredt til andre kommuner. Derfor foreslås:</w:t>
              </w:r>
            </w:p>
            <w:p>
              <w:pPr>
                <w:pStyle w:val="ListParagraph"/>
                <w:numPr>
                  <w:ilvl w:val="0"/>
                  <w:numId w:val="4"/>
                </w:numPr>
                <w:spacing w:after="160"/>
              </w:pPr>
              <w:r>
                <w:t xml:space="preserve">et nasjonalt skaleringsfond</w:t>
              </w:r>
            </w:p>
            <w:p>
              <w:pPr>
                <w:pStyle w:val="ListParagraph"/>
                <w:numPr>
                  <w:ilvl w:val="0"/>
                  <w:numId w:val="4"/>
                </w:numPr>
                <w:spacing w:after="160"/>
              </w:pPr>
              <w:r>
                <w:t xml:space="preserve">1 milliard kroner årlig over ti år</w:t>
              </w:r>
            </w:p>
            <w:p>
              <w:pPr>
                <w:pStyle w:val="ListParagraph"/>
                <w:numPr>
                  <w:ilvl w:val="0"/>
                  <w:numId w:val="4"/>
                </w:numPr>
                <w:spacing w:after="160"/>
              </w:pPr>
              <w:r>
                <w:t xml:space="preserve">sterkere statlig støtte til implementering og spredning</w:t>
              </w:r>
            </w:p>
            <w:p>
              <w:pPr>
                <w:spacing w:after="160"/>
              </w:pPr>
              <w:r>
                <w:t xml:space="preserve">Målet er å sikre at vellykkede løsninger faktisk tas i bruk nasjonalt.</w:t>
              </w:r>
            </w:p>
            <w:p>
              <w:pPr>
                <w:spacing w:after="160"/>
              </w:pPr>
              <w:r>
                <w:rPr>
                  <w:u w:val="single"/>
                </w:rPr>
                <w:t xml:space="preserve">Fem sentrale innsatsområder</w:t>
              </w:r>
            </w:p>
            <w:p>
              <w:pPr>
                <w:spacing w:after="160"/>
              </w:pPr>
              <w:r>
                <w:rPr>
                  <w:i/>
                </w:rPr>
                <w:t xml:space="preserve">Mer mangfoldig arbeidsliv</w:t>
              </w:r>
            </w:p>
            <w:p>
              <w:pPr>
                <w:pStyle w:val="ListParagraph"/>
                <w:numPr>
                  <w:ilvl w:val="0"/>
                  <w:numId w:val="5"/>
                </w:numPr>
                <w:spacing w:after="160"/>
              </w:pPr>
              <w:r>
                <w:t xml:space="preserve">Flere eldre må kunne stå lenger i jobb.</w:t>
              </w:r>
            </w:p>
            <w:p>
              <w:pPr>
                <w:pStyle w:val="ListParagraph"/>
                <w:numPr>
                  <w:ilvl w:val="0"/>
                  <w:numId w:val="5"/>
                </w:numPr>
                <w:spacing w:after="160"/>
              </w:pPr>
              <w:r>
                <w:t xml:space="preserve">Flere personer i randsonen av arbeidslivet må inkluderes.</w:t>
              </w:r>
            </w:p>
            <w:p>
              <w:pPr>
                <w:pStyle w:val="ListParagraph"/>
                <w:numPr>
                  <w:ilvl w:val="0"/>
                  <w:numId w:val="5"/>
                </w:numPr>
                <w:spacing w:after="160"/>
              </w:pPr>
              <w:r>
                <w:t xml:space="preserve">Oppgaver må organiseres smartere og fordeles bedre.</w:t>
              </w:r>
            </w:p>
            <w:p>
              <w:pPr>
                <w:spacing w:after="160"/>
              </w:pPr>
              <w:r>
                <w:rPr>
                  <w:i/>
                </w:rPr>
                <w:t xml:space="preserve">Mestring og forebygging</w:t>
              </w:r>
            </w:p>
            <w:p>
              <w:pPr>
                <w:pStyle w:val="ListParagraph"/>
                <w:numPr>
                  <w:ilvl w:val="0"/>
                  <w:numId w:val="6"/>
                </w:numPr>
                <w:spacing w:after="160"/>
              </w:pPr>
              <w:r>
                <w:t xml:space="preserve">Større satsing på forebygging framfor reparasjon.</w:t>
              </w:r>
            </w:p>
            <w:p>
              <w:pPr>
                <w:pStyle w:val="ListParagraph"/>
                <w:numPr>
                  <w:ilvl w:val="0"/>
                  <w:numId w:val="6"/>
                </w:numPr>
                <w:spacing w:after="160"/>
              </w:pPr>
              <w:r>
                <w:t xml:space="preserve">Mer hverdagsrehabilitering.</w:t>
              </w:r>
            </w:p>
            <w:p>
              <w:pPr>
                <w:pStyle w:val="ListParagraph"/>
                <w:numPr>
                  <w:ilvl w:val="0"/>
                  <w:numId w:val="6"/>
                </w:numPr>
                <w:spacing w:after="160"/>
              </w:pPr>
              <w:r>
                <w:t xml:space="preserve">Innsatser som gjør at folk klarer seg lengre uten omfattende tjenester.  </w:t>
              </w:r>
            </w:p>
            <w:p>
              <w:pPr>
                <w:spacing w:after="160"/>
              </w:pPr>
              <w:r>
                <w:rPr>
                  <w:i/>
                </w:rPr>
                <w:t xml:space="preserve">Styrket støtte til pårørende</w:t>
              </w:r>
            </w:p>
            <w:p>
              <w:pPr>
                <w:spacing w:after="160"/>
              </w:pPr>
              <w:r>
                <w:t xml:space="preserve">Utvalget foreslår blant annet:</w:t>
              </w:r>
            </w:p>
            <w:p>
              <w:pPr>
                <w:pStyle w:val="ListParagraph"/>
                <w:numPr>
                  <w:ilvl w:val="0"/>
                  <w:numId w:val="7"/>
                </w:numPr>
                <w:spacing w:after="160"/>
              </w:pPr>
              <w:r>
                <w:t xml:space="preserve">Utvidede permisjonsrettigheter for pårørende</w:t>
              </w:r>
            </w:p>
            <w:p>
              <w:pPr>
                <w:pStyle w:val="ListParagraph"/>
                <w:numPr>
                  <w:ilvl w:val="0"/>
                  <w:numId w:val="7"/>
                </w:numPr>
                <w:spacing w:after="160"/>
              </w:pPr>
              <w:r>
                <w:t xml:space="preserve">Bedre kompetanse i tjenestene om pårørendes rolle</w:t>
              </w:r>
            </w:p>
            <w:p>
              <w:pPr>
                <w:pStyle w:val="ListParagraph"/>
                <w:numPr>
                  <w:ilvl w:val="0"/>
                  <w:numId w:val="7"/>
                </w:numPr>
                <w:spacing w:after="160"/>
              </w:pPr>
              <w:r>
                <w:t xml:space="preserve">tidligere oppfølging av unge pårørende.</w:t>
              </w:r>
            </w:p>
            <w:p>
              <w:pPr>
                <w:spacing w:after="160"/>
              </w:pPr>
              <w:r>
                <w:rPr>
                  <w:i/>
                </w:rPr>
                <w:t xml:space="preserve">Frivilligheten som partner</w:t>
              </w:r>
            </w:p>
            <w:p>
              <w:pPr>
                <w:pStyle w:val="ListParagraph"/>
                <w:numPr>
                  <w:ilvl w:val="0"/>
                  <w:numId w:val="8"/>
                </w:numPr>
                <w:spacing w:after="160"/>
              </w:pPr>
              <w:r>
                <w:t xml:space="preserve">Færre og mer langsiktige tilskuddsordninger.</w:t>
              </w:r>
            </w:p>
            <w:p>
              <w:pPr>
                <w:pStyle w:val="ListParagraph"/>
                <w:numPr>
                  <w:ilvl w:val="0"/>
                  <w:numId w:val="8"/>
                </w:numPr>
                <w:spacing w:after="160"/>
              </w:pPr>
              <w:r>
                <w:t xml:space="preserve">Styrking av frivilligsentralenes rolle som koblingspunkt mellom kommune og sivilsamfunn.</w:t>
              </w:r>
            </w:p>
            <w:p>
              <w:pPr>
                <w:pStyle w:val="ListParagraph"/>
                <w:numPr>
                  <w:ilvl w:val="0"/>
                  <w:numId w:val="8"/>
                </w:numPr>
                <w:spacing w:after="160"/>
              </w:pPr>
              <w:r>
                <w:t xml:space="preserve">Dagens tilskudd til frivilligsentralene bør dobles.</w:t>
              </w:r>
            </w:p>
            <w:p>
              <w:pPr>
                <w:spacing w:after="160"/>
              </w:pPr>
              <w:r>
                <w:rPr>
                  <w:i/>
                </w:rPr>
                <w:t xml:space="preserve">Nye boformer</w:t>
              </w:r>
            </w:p>
            <w:p>
              <w:pPr>
                <w:spacing w:after="160"/>
              </w:pPr>
              <w:r>
                <w:t xml:space="preserve">Utvalget ønsker:</w:t>
              </w:r>
            </w:p>
            <w:p>
              <w:pPr>
                <w:pStyle w:val="ListParagraph"/>
                <w:numPr>
                  <w:ilvl w:val="0"/>
                  <w:numId w:val="9"/>
                </w:numPr>
                <w:spacing w:after="160"/>
              </w:pPr>
              <w:r>
                <w:t xml:space="preserve">Flere trygghetsboliger</w:t>
              </w:r>
            </w:p>
            <w:p>
              <w:pPr>
                <w:pStyle w:val="ListParagraph"/>
                <w:numPr>
                  <w:ilvl w:val="0"/>
                  <w:numId w:val="9"/>
                </w:numPr>
                <w:spacing w:after="160"/>
              </w:pPr>
              <w:r>
                <w:t xml:space="preserve">Aldersvennlige boliger</w:t>
              </w:r>
            </w:p>
            <w:p>
              <w:pPr>
                <w:pStyle w:val="ListParagraph"/>
                <w:numPr>
                  <w:ilvl w:val="0"/>
                  <w:numId w:val="9"/>
                </w:numPr>
                <w:spacing w:after="160"/>
              </w:pPr>
              <w:r>
                <w:t xml:space="preserve">Nye bo- og fellesskapsløsninger</w:t>
              </w:r>
            </w:p>
            <w:p>
              <w:pPr>
                <w:pStyle w:val="ListParagraph"/>
                <w:numPr>
                  <w:ilvl w:val="0"/>
                  <w:numId w:val="9"/>
                </w:numPr>
                <w:spacing w:after="160"/>
              </w:pPr>
              <w:r>
                <w:t xml:space="preserve">Sterkere kobling mellom boligpolitikk, teknologi og forebygging.</w:t>
              </w:r>
            </w:p>
            <w:p>
              <w:pPr>
                <w:spacing w:after="160"/>
              </w:pPr>
              <w:r>
                <w:rPr>
                  <w:u w:val="single"/>
                </w:rPr>
                <w:t xml:space="preserve">De viktigeste tilbakemeldingene på høringen</w:t>
              </w:r>
            </w:p>
            <w:p>
              <w:pPr>
                <w:spacing w:after="160"/>
              </w:pPr>
              <w:r>
                <w:t xml:space="preserve">Høringen er særlig relevant også for Skien kommune. Kommunen står allerede i en krevende omstilling. De demografiske endringene og et stramt økonomisk handlingsrom krever bedre dimensjonering av tjenestene i innsatstrappa. Samtidig har kommunen rekrutteringsutfordringer. Innsatsen må derfor dreies fra kompenserende og kostnadskrevende tjenester til forebygging, tidlig innsats og mestring. Det er også behov for egnede bolig- og nærmiljøløsninger.</w:t>
              </w:r>
            </w:p>
            <w:p>
              <w:pPr>
                <w:spacing w:after="160"/>
              </w:pPr>
              <w:r>
                <w:t xml:space="preserve">Skien kommune støtter hovedretningen i utredningen, men understreker at omstillingen må sikre kvalitet og trygghet i tjenestene. Kommunen vil særlig framheve:</w:t>
              </w:r>
            </w:p>
            <w:p>
              <w:pPr>
                <w:spacing w:after="160"/>
              </w:pPr>
              <w:r>
                <w:t xml:space="preserve">1.     Større kommunalt handlingsrom. Kommunene må kunne se tjenester og samfunnsutvikling i sammenheng, med mindre statlig detaljstyring.</w:t>
              </w:r>
            </w:p>
            <w:p>
              <w:pPr>
                <w:spacing w:after="160"/>
              </w:pPr>
              <w:r>
                <w:t xml:space="preserve">2.     Mer forebygging og tidlig innsats. Staten må bidra til å dekke overgangskostnader når ressurser flyttes fra omfattende tjenester til mestring og forebygging.</w:t>
              </w:r>
            </w:p>
            <w:p>
              <w:pPr>
                <w:spacing w:after="160"/>
              </w:pPr>
              <w:r>
                <w:t xml:space="preserve">3.     Fra prosjekt til drift. Gode løsninger må innføres varig og deles mellom kommunene.</w:t>
              </w:r>
            </w:p>
            <w:p>
              <w:pPr>
                <w:spacing w:after="160"/>
              </w:pPr>
              <w:r>
                <w:t xml:space="preserve">4.     Bedre bruk av arbeidskraften. Oppgaver, kompetanse og teknologi må organiseres annerledes fordi behovene øker raskere enn tilgangen på ansatte.</w:t>
              </w:r>
            </w:p>
            <w:p>
              <w:pPr>
                <w:spacing w:after="160"/>
              </w:pPr>
              <w:r>
                <w:t xml:space="preserve">5.     Samarbeid med lokalsamfunnet. Pårørende, frivillighet og andre aktører kan supplere, men ikke erstatte, kommunens ansvar.</w:t>
              </w:r>
            </w:p>
            <w:p>
              <w:pPr>
                <w:spacing w:after="160"/>
              </w:pPr>
              <w:r>
                <w:t xml:space="preserve">6.     Trygg bruk av KI og teknologi. Løsningene må styrke kvalitet og frigjøre tid, samtidig som personvern, sikkerhet og faglig ansvar ivaretas.</w:t>
              </w:r>
            </w:p>
            <w:p>
              <w:pPr>
                <w:spacing w:after="160"/>
              </w:pPr>
              <w:r>
                <w:t xml:space="preserve">7.     Bolig som del av velferdspolitikken. Staten må støtte utviklingen av egnede boliger også økonomisk. Det handler også om aldersvennlige nærmiljøer og tilbud mellom ordinær bolig og institusjon.</w:t>
              </w:r>
            </w:p>
            <w:p>
              <w:pPr>
                <w:spacing w:after="160"/>
              </w:pPr>
              <w:r>
                <w:br/>
              </w:r>
              <w:r>
                <w:rPr>
                  <w:b/>
                </w:rPr>
                <w:t xml:space="preserve">Effekten av saken </w:t>
              </w:r>
            </w:p>
            <w:p>
              <w:pPr>
                <w:spacing w:after="160"/>
              </w:pPr>
              <w:r>
                <w:t xml:space="preserve">Ingen direkte klimamessige konsekvenser på kort sikt. På lengre sikt kan en utvikling av tjenester som legger vekt på forebygging, mestring og økt bruk av lokale ressurser bidra til mer bærekraftig tjenesteutvikling og redusert ressursbruk.</w:t>
              </w:r>
            </w:p>
            <w:p>
              <w:pPr>
                <w:spacing w:after="160"/>
              </w:pPr>
              <w:r>
                <w:t xml:space="preserve">Høringsuttalelsen har ingen direkte miljømessige konsekvenser. Eventuelle langsiktige miljøeffekter vil være knyttet til hvordan framtidige tjenester organiseres og utvikles som følge av nasjonale føringer og politiske beslutninger. </w:t>
              </w:r>
            </w:p>
            <w:p>
              <w:pPr>
                <w:spacing w:after="160"/>
              </w:pPr>
              <w:r>
                <w:t xml:space="preserve">Høringsuttalelsen har ingen direkte økonomiske konsekvenser, men de temaene som omtales i utredningen kan på sikt få betydning for kommunens ressursbruk,</w:t>
              </w:r>
            </w:p>
            <w:p>
              <w:pPr>
                <w:spacing w:after="160"/>
              </w:pPr>
              <w:r>
                <w:t xml:space="preserve">Dersom anbefalingene følges opp nasjonalt og lokalt, kan dette bidra positivt til folkehelsen på lang sikt.</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Skien kommune støtter hovedretningene i utredningen.</w:t>
              </w:r>
            </w:p>
            <w:p>
              <w:pPr>
                <w:spacing w:after="160"/>
              </w:pPr>
              <w:r>
                <w:t xml:space="preserve">Sett fra et overordnet kommunalt perspektiv er dette i stor grad en NOU om </w:t>
              </w:r>
              <w:r>
                <w:rPr>
                  <w:i/>
                </w:rPr>
                <w:t xml:space="preserve">omstillingsevne </w:t>
              </w:r>
              <w:r>
                <w:t xml:space="preserve">for hele det kommunale tjenesteapparatet, ikke bare helse og omsorg. Den peker mot at kommunene bør gå fra å være primært tjenesteprodusent til i større grad å være samfunnsbygger, mobilisator og innovasjonspartner. Mange av forslagene samsvarer med retningen i Skien kommunes arbeid med å dreie tjenestene om mer digitalisering, innovasjon og samskaping, men utvalget tar til orde for langt sterkere nasjonal koordinering og skaleringskraft enn i dag.</w:t>
              </w:r>
            </w:p>
            <w:p>
              <w:pPr>
                <w:spacing w:after="160"/>
              </w:pPr>
              <w:r>
                <w:t xml:space="preserve">Skien kommune påpeker behovet for nasjonale forventninger som støtter reell prioritering, tjenestetildeling og likeverdige tjenester innenfor begrensede ressurser, slik at kommunene ikke bare får flere oppgaver, men også bedre rammer for å løse dem. Dette er punktvis fremhevet ovenfor under vurderingen av hva som er de viktigste tilbakemeldingene på høringen.</w:t>
              </w:r>
            </w:p>
            <w:p>
              <w:pPr>
                <w:spacing w:after="160"/>
              </w:pPr>
              <w:r>
                <w:t xml:space="preserve">Skien kommune understreker at forebygging må forstås som en reell omprioritering av ressurser og arbeidsformer, ikke som et tillegg til dagens drift. Skal innsatstrappa virke, må kommunene få støtte til å flytte ressurser, endre tjenesteprofil og håndtere overgangskostnader mens nye løsninger bygges opp.</w:t>
              </w:r>
            </w:p>
            <w:p>
              <w:pPr>
                <w:spacing w:after="160"/>
              </w:pPr>
              <w:r>
                <w:t xml:space="preserve">Skien kommune støtter en sterkere koordinering og flere felles løsninger i krysningen mellom stat og kommune, og imøteser diskusjonen rundt hvordan dette faktisk skal se ut.</w:t>
              </w:r>
            </w:p>
            <w:p>
              <w:pPr>
                <w:spacing w:after="160"/>
              </w:pPr>
              <w:r>
                <w:t xml:space="preserve"> </w:t>
              </w: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Høring NOU 20266 - Den nye velferdskommunen(2854258)</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Høringsinnstanser (1)(2855168)</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den-nye-velferdskommunen(2855278)</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6">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7">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8">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10cefc3a9edb4c7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Høringsuttalelse til NOU 2026 : 6 Den nye velferdskommunen</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