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cs="Arial"/>
          <w:szCs w:val="22"/>
        </w:rPr>
        <w:alias w:val="VedtakSomInnstillinger"/>
        <w:tag w:val="VedtakSomInnstillinger"/>
        <w:id w:val="1210229129"/>
      </w:sdtPr>
      <w:sdtEndPr>
        <w:rPr>
          <w:rFonts w:cs="Times New Roman"/>
          <w:szCs w:val="20"/>
        </w:rPr>
      </w:sdtEndPr>
      <w:sdtContent>
        <w:p w14:paraId="3BD5BABC" w14:textId="77777777" w:rsidR="008D0AF7" w:rsidRPr="00FD4FC8" w:rsidRDefault="008D0AF7" w:rsidP="008D0AF7">
          <w:pPr>
            <w:rPr>
              <w:rFonts w:cs="Arial"/>
              <w:szCs w:val="22"/>
            </w:rPr>
          </w:pPr>
          <w:r w:rsidRPr="00FD4FC8">
            <w:rPr>
              <w:rFonts w:cs="Arial"/>
              <w:b/>
              <w:bCs/>
              <w:szCs w:val="22"/>
            </w:rPr>
            <w:t xml:space="preserve">Vedtak som innstilling fra </w:t>
          </w:r>
          <w:sdt>
            <w:sdtPr>
              <w:rPr>
                <w:rFonts w:cs="Arial"/>
                <w:b/>
                <w:bCs/>
                <w:szCs w:val="22"/>
              </w:rPr>
              <w:alias w:val="VedtaksMøte.GruppeTittel"/>
              <w:tag w:val="VedtaksMøte.GruppeTittel"/>
              <w:id w:val="-2074351538"/>
            </w:sdtPr>
            <w:sdtEndPr/>
            <w:sdtContent>
              <w:r w:rsidRPr="00FD4FC8">
                <w:rPr>
                  <w:rFonts w:cs="Arial"/>
                  <w:b/>
                  <w:bCs/>
                  <w:szCs w:val="22"/>
                </w:rPr>
                <w:t>Utvalg for teknisk sektor</w:t>
              </w:r>
            </w:sdtContent>
          </w:sdt>
          <w:r w:rsidRPr="00FD4FC8">
            <w:rPr>
              <w:rFonts w:cs="Arial"/>
              <w:b/>
              <w:bCs/>
              <w:szCs w:val="22"/>
            </w:rPr>
            <w:t xml:space="preserve">, </w:t>
          </w:r>
          <w:sdt>
            <w:sdtPr>
              <w:rPr>
                <w:rFonts w:cs="Arial"/>
                <w:b/>
                <w:bCs/>
                <w:szCs w:val="22"/>
              </w:rPr>
              <w:alias w:val="VedtaksMøte.Start.KortDato"/>
              <w:tag w:val="VedtaksMøte.Start.KortDato"/>
              <w:id w:val="1648550454"/>
            </w:sdtPr>
            <w:sdtEndPr/>
            <w:sdtContent>
              <w:r w:rsidRPr="00FD4FC8">
                <w:rPr>
                  <w:rFonts w:cs="Arial"/>
                  <w:b/>
                  <w:bCs/>
                  <w:szCs w:val="22"/>
                </w:rPr>
                <w:t>05.11.2024</w:t>
              </w:r>
            </w:sdtContent>
          </w:sdt>
          <w:r w:rsidRPr="00FD4FC8">
            <w:rPr>
              <w:rFonts w:cs="Arial"/>
              <w:b/>
              <w:bCs/>
              <w:szCs w:val="22"/>
            </w:rPr>
            <w:t xml:space="preserve"> - </w:t>
          </w:r>
          <w:sdt>
            <w:sdtPr>
              <w:rPr>
                <w:rFonts w:cs="Arial"/>
                <w:b/>
                <w:bCs/>
                <w:szCs w:val="22"/>
              </w:rPr>
              <w:alias w:val="Vedtak.OpprettetIGjennomføring.Nummer"/>
              <w:tag w:val="Vedtak.OpprettetIGjennomføring.Nummer"/>
              <w:id w:val="-1527244487"/>
            </w:sdtPr>
            <w:sdtEndPr/>
            <w:sdtContent>
              <w:r w:rsidRPr="00FD4FC8">
                <w:rPr>
                  <w:rFonts w:cs="Arial"/>
                  <w:b/>
                  <w:bCs/>
                  <w:szCs w:val="22"/>
                </w:rPr>
                <w:t>61/24</w:t>
              </w:r>
            </w:sdtContent>
          </w:sdt>
        </w:p>
        <w:sdt>
          <w:sdtPr>
            <w:rPr>
              <w:rFonts w:cs="Arial"/>
              <w:szCs w:val="22"/>
            </w:rPr>
            <w:alias w:val="Vedtak.Tekst"/>
            <w:tag w:val="Vedtak.Tekst"/>
            <w:id w:val="-255291208"/>
          </w:sdtPr>
          <w:sdtEndPr>
            <w:rPr>
              <w:rFonts w:cs="Times New Roman"/>
              <w:szCs w:val="20"/>
            </w:rPr>
          </w:sdtEndPr>
          <w:sdtContent>
            <w:p w14:paraId="1169A3E7" w14:textId="77777777" w:rsidR="008D0AF7" w:rsidRPr="00FD4FC8" w:rsidRDefault="008D0AF7" w:rsidP="008D0AF7">
              <w:p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szCs w:val="22"/>
                </w:rPr>
                <w:t>Gebyrene i tabell 1, vedtas for Skien kommune for året 2025. Gebyrene følger Selvkostforskriften og gjelder for tjenesteområde: vann, avløp, slam, renovasjon og feiing.  I tillegg er det gebyr for kontroll og tilsyn etter forurensningsforskriften, og gravegebyr. For ytterligere referanse til regelverk, se siste side.</w:t>
              </w:r>
              <w:r w:rsidRPr="00FD4FC8">
                <w:rPr>
                  <w:rFonts w:cs="Arial"/>
                  <w:szCs w:val="22"/>
                </w:rPr>
                <w:br/>
                <w:t> </w:t>
              </w:r>
            </w:p>
            <w:p w14:paraId="1CC19416" w14:textId="77777777" w:rsidR="008D0AF7" w:rsidRPr="00FD4FC8" w:rsidRDefault="008D0AF7" w:rsidP="008D0AF7">
              <w:p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szCs w:val="22"/>
                </w:rPr>
                <w:t xml:space="preserve">Tab. 1. Spesifiserte priser </w:t>
              </w:r>
              <w:r w:rsidRPr="00FD4FC8">
                <w:rPr>
                  <w:rFonts w:cs="Arial"/>
                  <w:b/>
                  <w:szCs w:val="22"/>
                </w:rPr>
                <w:t>uten</w:t>
              </w:r>
              <w:r w:rsidRPr="00FD4FC8">
                <w:rPr>
                  <w:rFonts w:cs="Arial"/>
                  <w:szCs w:val="22"/>
                </w:rPr>
                <w:t xml:space="preserve"> mva. Endringen er inkl. pris/lønnsvekst:</w:t>
              </w:r>
            </w:p>
            <w:tbl>
              <w:tblPr>
                <w:tblStyle w:val="Tabellrutenett"/>
                <w:tblW w:w="9000" w:type="dxa"/>
                <w:tblCellSpacing w:w="0" w:type="dxa"/>
                <w:tblLayout w:type="fixed"/>
                <w:tblLook w:val="0600" w:firstRow="0" w:lastRow="0" w:firstColumn="0" w:lastColumn="0" w:noHBand="1" w:noVBand="1"/>
              </w:tblPr>
              <w:tblGrid>
                <w:gridCol w:w="4804"/>
                <w:gridCol w:w="975"/>
                <w:gridCol w:w="1034"/>
                <w:gridCol w:w="1108"/>
                <w:gridCol w:w="1079"/>
              </w:tblGrid>
              <w:tr w:rsidR="008D0AF7" w:rsidRPr="00FD4FC8" w14:paraId="12A98235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495AC83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975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ABEBC1E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1034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4243AD34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108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95889B8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79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14A82BEB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8D0AF7" w:rsidRPr="00FD4FC8" w14:paraId="3DDA3EAF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F4E8B3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FEIEGEBYR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D8FCC6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A1802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EBE583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74B467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3AEA04C7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A38D0C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Årsgebyr feiing/tilsyn bolig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66FE8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460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3F033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480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6B391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79CE3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4,3%</w:t>
                    </w:r>
                  </w:p>
                </w:tc>
              </w:tr>
              <w:tr w:rsidR="008D0AF7" w:rsidRPr="00FD4FC8" w14:paraId="1B79E69D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EC621A2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Årsgebyr feiing/tilsyn fritidsbolig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05077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230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5FB276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240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F22B05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0D30BD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4,3%</w:t>
                    </w:r>
                  </w:p>
                </w:tc>
              </w:tr>
              <w:tr w:rsidR="008D0AF7" w:rsidRPr="00FD4FC8" w14:paraId="0971389D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E90CEA8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454D0A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4D59DC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122EC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99B2E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48CFE34D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79599B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VANNGEBYR 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(pr m3 målt/stipulert </w:t>
                    </w:r>
                    <w:proofErr w:type="gramStart"/>
                    <w:r w:rsidRPr="00FD4FC8">
                      <w:rPr>
                        <w:rFonts w:ascii="Arial" w:hAnsi="Arial" w:cs="Arial"/>
                        <w:szCs w:val="22"/>
                      </w:rPr>
                      <w:t>forbruk)   </w:t>
                    </w:r>
                    <w:proofErr w:type="gram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    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13670D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094023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2683A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594641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4CFD07BE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A4FD5D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Årsgebyr – mengdevariabel del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3CC77C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20,72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61B9D6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21,57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C72544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0,85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181C2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4,1%</w:t>
                    </w:r>
                  </w:p>
                </w:tc>
              </w:tr>
              <w:tr w:rsidR="008D0AF7" w:rsidRPr="00FD4FC8" w14:paraId="60166C79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21EDC5E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Årsgebyr – fast del (60 m3)                  1)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4F8BB8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1 243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53FA29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1 294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4CF4D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51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45A87B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4,1 %</w:t>
                    </w:r>
                  </w:p>
                </w:tc>
              </w:tr>
              <w:tr w:rsidR="008D0AF7" w:rsidRPr="00FD4FC8" w14:paraId="5AEAE0B0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74C3FB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Tilknytningsgebyr (pr m2 bruksareal)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36111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32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39D07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FEE81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1A1D8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4,1%</w:t>
                    </w:r>
                  </w:p>
                </w:tc>
              </w:tr>
              <w:tr w:rsidR="008D0AF7" w:rsidRPr="00FD4FC8" w14:paraId="6467F71C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vAlign w:val="center"/>
                  </w:tcPr>
                  <w:p w14:paraId="7FBAAAC8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  <w:t> </w:t>
                    </w:r>
                  </w:p>
                  <w:p w14:paraId="3736BB9C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  <w:t> </w:t>
                    </w:r>
                  </w:p>
                </w:tc>
                <w:tc>
                  <w:tcPr>
                    <w:tcW w:w="975" w:type="dxa"/>
                    <w:vAlign w:val="center"/>
                  </w:tcPr>
                  <w:p w14:paraId="49C81A6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4" w:type="dxa"/>
                    <w:vAlign w:val="center"/>
                  </w:tcPr>
                  <w:p w14:paraId="1CA8B263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108" w:type="dxa"/>
                    <w:vAlign w:val="center"/>
                  </w:tcPr>
                  <w:p w14:paraId="0ED04DD2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79" w:type="dxa"/>
                    <w:vAlign w:val="center"/>
                  </w:tcPr>
                  <w:p w14:paraId="68461A33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7B676F53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037FCC2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E7E6E6"/>
                      </w:rPr>
                      <w:t>GEBYRTYPE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58C8E6D6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E7E6E6"/>
                      </w:rPr>
                      <w:t>2024 sats kr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2E4C8FB0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E7E6E6"/>
                      </w:rPr>
                      <w:t>2025 sats kr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4A3114A6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E7E6E6"/>
                      </w:rPr>
                      <w:t>Endring i kr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57F2099B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E7E6E6"/>
                      </w:rPr>
                      <w:t>Endring i %</w:t>
                    </w:r>
                  </w:p>
                </w:tc>
              </w:tr>
              <w:tr w:rsidR="008D0AF7" w:rsidRPr="00FD4FC8" w14:paraId="2757796A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A26B232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AVLØPSGEBYR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(pr m3 målt/stipulert forbruk)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98F097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6C251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2D839B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2B61E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35886188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1D9AEA6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Årsgebyr – mengdevariabel del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70DF9A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28,93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E2F9CB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29,51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9AF31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0,58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6D7E0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2%</w:t>
                    </w:r>
                  </w:p>
                </w:tc>
              </w:tr>
              <w:tr w:rsidR="008D0AF7" w:rsidRPr="00FD4FC8" w14:paraId="3974ED46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125E78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Årsgebyr - fast del (60 m3)                      1)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7BF070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1 736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67E2EF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1 771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1DC072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35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10B4C2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2%</w:t>
                    </w:r>
                  </w:p>
                </w:tc>
              </w:tr>
              <w:tr w:rsidR="008D0AF7" w:rsidRPr="00FD4FC8" w14:paraId="050E3F0A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BF7B5B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Tilknytningsgebyr (pr m2 bruksareal)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DEC459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36DBD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F9DB2F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FE73CA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2%</w:t>
                    </w:r>
                  </w:p>
                </w:tc>
              </w:tr>
              <w:tr w:rsidR="008D0AF7" w:rsidRPr="00FD4FC8" w14:paraId="6088DF47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9525D9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SLAMTØMMING                                                          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D9A6B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DC71E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60A54B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614B0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1620EE2D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DEA916A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Slamavskiller, tømming hvert annet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AD97B8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1 149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465CDB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1 091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923BE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-58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511C78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5370EA04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85DE8A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Nødtømming innen 24 timer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B43BD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3 866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E68E1A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3 673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A5D6A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-193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28DB4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7D3E5F9C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DCE7059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Ekstratømming, pris pr tømming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B8D87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554B6F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DFC70A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87BB79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0F5908A0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E6E26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Minirenseanlegg, tømming hvert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875CB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3FC71C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A6D4D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93EF56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39296189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AC88F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Minirenseanlegg m/slamfluktskum, tømmes hvert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70E3C7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3 184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832CD4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3 025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FF9855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-159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27D3A1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4025D24D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38FA9E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Tett tank for svartvann, tømmes ved behov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76A4D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79DB6D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87C834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BC498C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31A78DB6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019CE2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Slamavskiller for gråvann, hvert 4.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EC337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575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E7F19E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546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D1152D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-29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A3C41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  <w:tr w:rsidR="008D0AF7" w:rsidRPr="00FD4FC8" w14:paraId="21C818B6" w14:textId="77777777" w:rsidTr="00C243AD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3F45EA8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Tømming brakkerigger, festivaltoaletter, anlegg over 8 m3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0DFF6D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723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B0DB5E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687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8092FC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-36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7B71C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-5,0%</w:t>
                    </w:r>
                  </w:p>
                </w:tc>
              </w:tr>
            </w:tbl>
            <w:p w14:paraId="1468D3EA" w14:textId="77777777" w:rsidR="008D0AF7" w:rsidRPr="00FD4FC8" w:rsidRDefault="008D0AF7" w:rsidP="008D0AF7">
              <w:p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szCs w:val="22"/>
                </w:rPr>
                <w:t> </w:t>
              </w:r>
            </w:p>
            <w:tbl>
              <w:tblPr>
                <w:tblStyle w:val="Tabellrutenett"/>
                <w:tblW w:w="9000" w:type="dxa"/>
                <w:tblCellSpacing w:w="0" w:type="dxa"/>
                <w:tblLayout w:type="fixed"/>
                <w:tblLook w:val="0600" w:firstRow="0" w:lastRow="0" w:firstColumn="0" w:lastColumn="0" w:noHBand="1" w:noVBand="1"/>
              </w:tblPr>
              <w:tblGrid>
                <w:gridCol w:w="4914"/>
                <w:gridCol w:w="1036"/>
                <w:gridCol w:w="931"/>
                <w:gridCol w:w="1067"/>
                <w:gridCol w:w="1052"/>
              </w:tblGrid>
              <w:tr w:rsidR="008D0AF7" w:rsidRPr="00FD4FC8" w14:paraId="31A66F8C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14966AAA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  <w:shd w:val="clear" w:color="auto" w:fill="D9D9D9"/>
                      </w:rPr>
                      <w:t> </w:t>
                    </w:r>
                  </w:p>
                  <w:p w14:paraId="6986A72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1036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6DC6F06F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931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402C2CC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067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8F7B1F2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52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17286B3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8D0AF7" w:rsidRPr="00FD4FC8" w14:paraId="7E9B728D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91224A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RENOVASJONSGEBYR, husholdningsavfall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13F50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AAE9E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7DC01C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E3D3EB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228B6337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869265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Std.abonnement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per boenhet (140 L), 4 dunker 140 L + plastsekk til plastemballasje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1AAFA3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3 150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74EF64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3 244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4B3F9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94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0D33B0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3,0%</w:t>
                    </w:r>
                  </w:p>
                </w:tc>
              </w:tr>
              <w:tr w:rsidR="008D0AF7" w:rsidRPr="00FD4FC8" w14:paraId="1ED9EB7C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6A0441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Std.abonnement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240L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632123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5 863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9F0E72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6 038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E1691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175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78A473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3,0%</w:t>
                    </w:r>
                  </w:p>
                </w:tc>
              </w:tr>
              <w:tr w:rsidR="008D0AF7" w:rsidRPr="00FD4FC8" w14:paraId="240610E4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2BAEDE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Renovasjon felles, 13 % rabatt pr boenhet, borettslag og andre som deler dunk         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E044A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2 741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B78C5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2 823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D90E51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82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AB16F4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3,0%</w:t>
                    </w:r>
                  </w:p>
                </w:tc>
              </w:tr>
              <w:tr w:rsidR="008D0AF7" w:rsidRPr="00FD4FC8" w14:paraId="61BE3CCF" w14:textId="77777777" w:rsidTr="00C243AD">
                <w:tblPrEx>
                  <w:tblCellSpacing w:w="0" w:type="nil"/>
                </w:tblPrEx>
                <w:trPr>
                  <w:trHeight w:val="343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17C2D379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lastRenderedPageBreak/>
                      <w:t>Renovasjon lite (45 L eller 80 L), 13 % rabatt pr boenhet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3777D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2 741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FE27E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2 823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B4CF7B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82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C7456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3,0%</w:t>
                    </w:r>
                  </w:p>
                </w:tc>
              </w:tr>
              <w:tr w:rsidR="008D0AF7" w:rsidRPr="00FD4FC8" w14:paraId="69416BB1" w14:textId="77777777" w:rsidTr="00C243AD">
                <w:tblPrEx>
                  <w:tblCellSpacing w:w="0" w:type="nil"/>
                </w:tblPrEx>
                <w:trPr>
                  <w:trHeight w:val="575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A2FBA9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Renovasjon delt, 35 % rabatt pr boenhet inntil to boenheter deler standard sett 140 L dunk, bla enebolig m/hybel                                           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417556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2 047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E3442F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2 108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5FA8D0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61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01D47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3,0%</w:t>
                    </w:r>
                  </w:p>
                </w:tc>
              </w:tr>
              <w:tr w:rsidR="008D0AF7" w:rsidRPr="00FD4FC8" w14:paraId="0CB6A1BD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CD4C8E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Fritidsrenovasjon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7FEA29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1 575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B0BE9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1 622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D8BAB9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47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42EE2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3,0%</w:t>
                    </w:r>
                  </w:p>
                </w:tc>
              </w:tr>
              <w:tr w:rsidR="008D0AF7" w:rsidRPr="00FD4FC8" w14:paraId="541FFAB5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vAlign w:val="center"/>
                  </w:tcPr>
                  <w:p w14:paraId="55678E39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  <w:t> </w:t>
                    </w:r>
                  </w:p>
                </w:tc>
                <w:tc>
                  <w:tcPr>
                    <w:tcW w:w="1036" w:type="dxa"/>
                    <w:vAlign w:val="center"/>
                  </w:tcPr>
                  <w:p w14:paraId="00C8144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vAlign w:val="center"/>
                  </w:tcPr>
                  <w:p w14:paraId="16BD922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vAlign w:val="center"/>
                  </w:tcPr>
                  <w:p w14:paraId="019D814C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vAlign w:val="center"/>
                  </w:tcPr>
                  <w:p w14:paraId="12760163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3575ACEC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69E1E73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  <w:shd w:val="clear" w:color="auto" w:fill="D9D9D9"/>
                      </w:rPr>
                      <w:t> </w:t>
                    </w:r>
                  </w:p>
                  <w:p w14:paraId="1A71082C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1036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D5340DE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931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DEC9063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067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76C1D06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52" w:type="dxa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9A26126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8D0AF7" w:rsidRPr="00FD4FC8" w14:paraId="7061477C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E77A376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FORURENSNINGSMYNDIGHET            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2)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C6DBE1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DEE23E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E319B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A5F984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3CF40204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F0057A1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 xml:space="preserve">Saksbehandlingsgebyr for søknad om utslipp etter </w:t>
                    </w:r>
                    <w:proofErr w:type="spellStart"/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Forurensningsl</w:t>
                    </w:r>
                    <w:proofErr w:type="spellEnd"/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 xml:space="preserve">. § 52 a og </w:t>
                    </w:r>
                    <w:proofErr w:type="spellStart"/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Forurensningsf</w:t>
                    </w:r>
                    <w:proofErr w:type="spellEnd"/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. § 11-4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B2EB7CC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4DCDB3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D91588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41BE38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73ED8551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7FE1CBB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Timesats (etter medgått tid)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AA1247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1 300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02120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1 483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179592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183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5CF34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14,1%</w:t>
                    </w:r>
                  </w:p>
                </w:tc>
              </w:tr>
              <w:tr w:rsidR="008D0AF7" w:rsidRPr="00FD4FC8" w14:paraId="3467C11F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2059C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Søknad om utslippstillatelse inntil 15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pe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(personekvivalent)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22048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7 702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214C76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8 788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316BE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1 086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05D92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14,1%</w:t>
                    </w:r>
                  </w:p>
                </w:tc>
              </w:tr>
              <w:tr w:rsidR="008D0AF7" w:rsidRPr="00FD4FC8" w14:paraId="32B17F85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689EF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Søknad om utslippstillatelse 16-50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pe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>, 4-10 boliger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7A69E3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10 961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E10072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12 507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7EE7FD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1 546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3AA2DF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14,1%</w:t>
                    </w:r>
                  </w:p>
                </w:tc>
              </w:tr>
              <w:tr w:rsidR="008D0AF7" w:rsidRPr="00FD4FC8" w14:paraId="7CABAD0D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E75ECA7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Søknad om utslippstillatelser &gt; 50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pe</w:t>
                    </w:r>
                    <w:proofErr w:type="spellEnd"/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04AC9D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5EFD1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220578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CA159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22CAA28D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11AD28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Søknad om utslipp av oljeholdig-/fettholdig avløpsvann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D0B097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11 849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76E93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13 520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DD5AF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1 671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5F77ED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14,1%</w:t>
                    </w:r>
                  </w:p>
                </w:tc>
              </w:tr>
              <w:tr w:rsidR="008D0AF7" w:rsidRPr="00FD4FC8" w14:paraId="24E56088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2CAD2E3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Søknad om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påslipp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til kommunal ledning                          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A093C3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13 330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F58A79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15 210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22CF0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1 880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D6D4B0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14,1%</w:t>
                    </w:r>
                  </w:p>
                </w:tc>
              </w:tr>
              <w:tr w:rsidR="008D0AF7" w:rsidRPr="00FD4FC8" w14:paraId="57515876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0EB51255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38D00F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6A3B5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D73B3B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C1C93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1FC8F3B4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66BB8F0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 xml:space="preserve">Kontroll og tilsyn etter </w:t>
                    </w:r>
                    <w:proofErr w:type="spellStart"/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Forl</w:t>
                    </w:r>
                    <w:proofErr w:type="spellEnd"/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. § 52 a og Forf. § 11-4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46A78B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A63D1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B82FDD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51E4F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6B0B48E2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7B3A076B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Tilsyn av mindre avløpsanlegg kap. 12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3B9B9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1 061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CBE1B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1 498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99F13C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437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6C7960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41,2%</w:t>
                    </w:r>
                  </w:p>
                  <w:p w14:paraId="61D2B23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3ABA1C76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2AF7F7B2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Tilsyn av større avløpsanlegg, kap. 13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5E6293B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C86D6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91B339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96C96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56DCF5E8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10E2A7B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Tilsyn, utslipp av olje/fettholdig avløpsvann,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  <w:t>kap.15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4A0BCC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DB380E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64F80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8D1EA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13F1AD37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75D2A2F0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Tilsyn og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påslipp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til kommunal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ledn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.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Kap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15A-4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C1D357" w14:textId="77777777" w:rsidR="008D0AF7" w:rsidRPr="00FD4FC8" w:rsidRDefault="008D0AF7" w:rsidP="00C243AD">
                    <w:pPr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2D577B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5E696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AFF01B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1B6BAFA5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98EC16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49DEBD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6CD6F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F7FAF5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076DF9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448408C7" w14:textId="77777777" w:rsidTr="00C243AD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0D3E0B0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GRAVEGEBYR                                                               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t> 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3B082E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4 000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3B59C5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4 000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3C527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0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35297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0%</w:t>
                    </w:r>
                  </w:p>
                </w:tc>
              </w:tr>
            </w:tbl>
            <w:p w14:paraId="185198A1" w14:textId="77777777" w:rsidR="008D0AF7" w:rsidRPr="00FD4FC8" w:rsidRDefault="008D0AF7" w:rsidP="008D0AF7">
              <w:p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szCs w:val="22"/>
                </w:rPr>
                <w:br/>
                <w:t> </w:t>
              </w:r>
            </w:p>
            <w:tbl>
              <w:tblPr>
                <w:tblStyle w:val="Tabellrutenett"/>
                <w:tblW w:w="0" w:type="auto"/>
                <w:tblLook w:val="0600" w:firstRow="0" w:lastRow="0" w:firstColumn="0" w:lastColumn="0" w:noHBand="1" w:noVBand="1"/>
              </w:tblPr>
              <w:tblGrid>
                <w:gridCol w:w="6446"/>
                <w:gridCol w:w="1137"/>
                <w:gridCol w:w="1479"/>
              </w:tblGrid>
              <w:tr w:rsidR="008D0AF7" w:rsidRPr="00FD4FC8" w14:paraId="207A6699" w14:textId="77777777" w:rsidTr="00C243AD">
                <w:trPr>
                  <w:trHeight w:val="682"/>
                </w:trPr>
                <w:tc>
                  <w:tcPr>
                    <w:tcW w:w="5340" w:type="auto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D59264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  <w:shd w:val="clear" w:color="auto" w:fill="D9D9D9"/>
                      </w:rPr>
                      <w:t xml:space="preserve">Priser fra RIG IKS (tall er her inkl.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  <w:shd w:val="clear" w:color="auto" w:fill="D9D9D9"/>
                      </w:rPr>
                      <w:t>mva</w:t>
                    </w:r>
                    <w:proofErr w:type="spellEnd"/>
                    <w:r w:rsidRPr="00FD4FC8">
                      <w:rPr>
                        <w:rFonts w:ascii="Arial" w:hAnsi="Arial" w:cs="Arial"/>
                        <w:szCs w:val="22"/>
                        <w:shd w:val="clear" w:color="auto" w:fill="D9D9D9"/>
                      </w:rP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01DC70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1640" w:type="auto"/>
                    <w:tcBorders>
                      <w:top w:val="single" w:sz="4" w:space="0" w:color="000000"/>
                      <w:left w:val="non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1687C6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2025 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</w:r>
                    <w:r w:rsidRPr="00FD4FC8">
                      <w:rPr>
                        <w:rFonts w:ascii="Arial" w:hAnsi="Arial" w:cs="Arial"/>
                        <w:b/>
                        <w:color w:val="000000"/>
                        <w:szCs w:val="22"/>
                        <w:shd w:val="clear" w:color="auto" w:fill="D9D9D9"/>
                      </w:rPr>
                      <w:t>sats kr</w:t>
                    </w:r>
                  </w:p>
                </w:tc>
              </w:tr>
              <w:tr w:rsidR="008D0AF7" w:rsidRPr="00FD4FC8" w14:paraId="0125F7DC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BEBED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GJENVINNINGSSTASJONENE                                   3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AD345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1BD95B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535FB9B2" w14:textId="77777777" w:rsidTr="00C243AD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A26CFE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Avfall levert med personbil (inntil 1 m3)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3C1D58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F3EB2D6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Ny prismodell</w:t>
                    </w:r>
                  </w:p>
                </w:tc>
              </w:tr>
              <w:tr w:rsidR="008D0AF7" w:rsidRPr="00FD4FC8" w14:paraId="19CE3068" w14:textId="77777777" w:rsidTr="00C243AD">
                <w:trPr>
                  <w:trHeight w:val="542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A63C88B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lastRenderedPageBreak/>
                      <w:t>Avfall levert m/større biler, varebiler, personbiler m/henger (inntil 2m3)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1113F0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ABFB2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Ny prismodell</w:t>
                    </w:r>
                  </w:p>
                </w:tc>
              </w:tr>
              <w:tr w:rsidR="008D0AF7" w:rsidRPr="00FD4FC8" w14:paraId="7364FDD8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623B7B9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Ved mengder utover hhv 1 eller 2 m3, øker prisen per m3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4BFD4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54140F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Ny prismodell</w:t>
                    </w:r>
                  </w:p>
                </w:tc>
              </w:tr>
              <w:tr w:rsidR="008D0AF7" w:rsidRPr="00FD4FC8" w14:paraId="07C67BBC" w14:textId="77777777" w:rsidTr="00C243AD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46B2C5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Tillegg for feilaktig bruk av sekk til plastemballasje    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90328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10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CEE949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30 </w:t>
                    </w:r>
                  </w:p>
                </w:tc>
              </w:tr>
              <w:tr w:rsidR="008D0AF7" w:rsidRPr="00FD4FC8" w14:paraId="24AB160B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48594D7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ABE920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51B557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362B6329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796CFA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Sortert/kildesortert avfall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756898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E6467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Gratis</w:t>
                    </w:r>
                  </w:p>
                </w:tc>
              </w:tr>
              <w:tr w:rsidR="008D0AF7" w:rsidRPr="00FD4FC8" w14:paraId="5741DE77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87DA76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Levering av restavfall – </w:t>
                    </w: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gj.</w:t>
                    </w:r>
                    <w:proofErr w:type="gramStart"/>
                    <w:r w:rsidRPr="00FD4FC8">
                      <w:rPr>
                        <w:rFonts w:ascii="Arial" w:hAnsi="Arial" w:cs="Arial"/>
                        <w:szCs w:val="22"/>
                      </w:rPr>
                      <w:t>v.stasjonene</w:t>
                    </w:r>
                    <w:proofErr w:type="spellEnd"/>
                    <w:proofErr w:type="gramEnd"/>
                    <w:r w:rsidRPr="00FD4FC8">
                      <w:rPr>
                        <w:rFonts w:ascii="Arial" w:hAnsi="Arial" w:cs="Arial"/>
                        <w:szCs w:val="22"/>
                      </w:rPr>
                      <w:t>: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BD4AE0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25B94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500 kr/m3</w:t>
                    </w:r>
                  </w:p>
                </w:tc>
              </w:tr>
              <w:tr w:rsidR="008D0AF7" w:rsidRPr="00FD4FC8" w14:paraId="46A279D1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0056D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     -Restavfall i sekk settes til 1/10 av m3-pris 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  <w:t>     </w:t>
                    </w:r>
                    <w:proofErr w:type="gramStart"/>
                    <w:r w:rsidRPr="00FD4FC8">
                      <w:rPr>
                        <w:rFonts w:ascii="Arial" w:hAnsi="Arial" w:cs="Arial"/>
                        <w:szCs w:val="22"/>
                      </w:rPr>
                      <w:t xml:space="preserve">   (</w:t>
                    </w:r>
                    <w:proofErr w:type="gramEnd"/>
                    <w:r w:rsidRPr="00FD4FC8">
                      <w:rPr>
                        <w:rFonts w:ascii="Arial" w:hAnsi="Arial" w:cs="Arial"/>
                        <w:szCs w:val="22"/>
                      </w:rPr>
                      <w:t>100 liters sekk)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911621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ED8F62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 kr/sekk</w:t>
                    </w:r>
                  </w:p>
                </w:tc>
              </w:tr>
              <w:tr w:rsidR="008D0AF7" w:rsidRPr="00FD4FC8" w14:paraId="21AFEC0A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28313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     -Minste volum restavfall er halv sekk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F6346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45FAB7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25 kr/halv sekk</w:t>
                    </w:r>
                  </w:p>
                </w:tc>
              </w:tr>
              <w:tr w:rsidR="008D0AF7" w:rsidRPr="00FD4FC8" w14:paraId="10D5B463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4FEFFE4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     -Eksempel: Gjenstander sortert som restavfall kan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br/>
                      <w:t>       gi en fastpris i trinn på 0,05 m3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5ABB9DF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069D8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25 </w:t>
                    </w:r>
                  </w:p>
                </w:tc>
              </w:tr>
              <w:tr w:rsidR="008D0AF7" w:rsidRPr="00FD4FC8" w14:paraId="6DCAFA87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175EEDD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Fyllmasser/lett forurensede masser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4597744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741439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500 kr/m3</w:t>
                    </w:r>
                  </w:p>
                </w:tc>
              </w:tr>
              <w:tr w:rsidR="008D0AF7" w:rsidRPr="00FD4FC8" w14:paraId="2739092A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FA04DB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990A1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226027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76847C13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214EB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b/>
                        <w:szCs w:val="22"/>
                      </w:rPr>
                      <w:t>ANDRE PRISER RIG                                                   3</w:t>
                    </w:r>
                    <w:r w:rsidRPr="00FD4FC8">
                      <w:rPr>
                        <w:rFonts w:ascii="Arial" w:hAnsi="Arial" w:cs="Arial"/>
                        <w:szCs w:val="22"/>
                      </w:rP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D6E1F5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8A7556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 </w:t>
                    </w:r>
                  </w:p>
                </w:tc>
              </w:tr>
              <w:tr w:rsidR="008D0AF7" w:rsidRPr="00FD4FC8" w14:paraId="4B1EDF4E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398EA6C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Grovavfallsruten (bestillingstjeneste)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66257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B77C0D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300</w:t>
                    </w:r>
                  </w:p>
                </w:tc>
              </w:tr>
              <w:tr w:rsidR="008D0AF7" w:rsidRPr="00FD4FC8" w14:paraId="0C33A358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699257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proofErr w:type="spellStart"/>
                    <w:r w:rsidRPr="00FD4FC8">
                      <w:rPr>
                        <w:rFonts w:ascii="Arial" w:hAnsi="Arial" w:cs="Arial"/>
                        <w:szCs w:val="22"/>
                      </w:rPr>
                      <w:t>Ekstrasekk</w:t>
                    </w:r>
                    <w:proofErr w:type="spellEnd"/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F202019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7C28BC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50</w:t>
                    </w:r>
                  </w:p>
                </w:tc>
              </w:tr>
              <w:tr w:rsidR="008D0AF7" w:rsidRPr="00FD4FC8" w14:paraId="464983B3" w14:textId="77777777" w:rsidTr="00C243AD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40E21CA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Ekstratømming inntil 370 L, per beholder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330C6A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700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A7003AB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700</w:t>
                    </w:r>
                  </w:p>
                </w:tc>
              </w:tr>
              <w:tr w:rsidR="008D0AF7" w:rsidRPr="00FD4FC8" w14:paraId="3041B939" w14:textId="77777777" w:rsidTr="00C243AD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4E35EF" w14:textId="77777777" w:rsidR="008D0AF7" w:rsidRPr="00FD4FC8" w:rsidRDefault="008D0AF7" w:rsidP="00C243AD">
                    <w:pPr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Ekstratømming 660 L eller mer, per beholder/container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C77C561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2 000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DBCC83" w14:textId="77777777" w:rsidR="008D0AF7" w:rsidRPr="00FD4FC8" w:rsidRDefault="008D0AF7" w:rsidP="00C243AD">
                    <w:pPr>
                      <w:jc w:val="right"/>
                      <w:rPr>
                        <w:rFonts w:ascii="Arial" w:hAnsi="Arial" w:cs="Arial"/>
                        <w:szCs w:val="22"/>
                      </w:rPr>
                    </w:pPr>
                    <w:r w:rsidRPr="00FD4FC8">
                      <w:rPr>
                        <w:rFonts w:ascii="Arial" w:hAnsi="Arial" w:cs="Arial"/>
                        <w:szCs w:val="22"/>
                      </w:rPr>
                      <w:t>2 000</w:t>
                    </w:r>
                  </w:p>
                </w:tc>
              </w:tr>
            </w:tbl>
            <w:p w14:paraId="646B8E4E" w14:textId="77777777" w:rsidR="008D0AF7" w:rsidRPr="00FD4FC8" w:rsidRDefault="008D0AF7" w:rsidP="008D0AF7">
              <w:p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szCs w:val="22"/>
                </w:rPr>
                <w:br/>
              </w:r>
              <w:r w:rsidRPr="00FD4FC8">
                <w:rPr>
                  <w:rFonts w:cs="Arial"/>
                  <w:szCs w:val="22"/>
                </w:rPr>
                <w:br/>
              </w:r>
              <w:r w:rsidRPr="00FD4FC8">
                <w:rPr>
                  <w:rFonts w:cs="Arial"/>
                  <w:i/>
                  <w:szCs w:val="22"/>
                </w:rPr>
                <w:t>Merknader til tabellen:        </w:t>
              </w:r>
            </w:p>
            <w:p w14:paraId="0D3F34EF" w14:textId="77777777" w:rsidR="008D0AF7" w:rsidRPr="00FD4FC8" w:rsidRDefault="008D0AF7" w:rsidP="008D0AF7">
              <w:pPr>
                <w:numPr>
                  <w:ilvl w:val="0"/>
                  <w:numId w:val="1"/>
                </w:num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szCs w:val="22"/>
                </w:rPr>
                <w:t>Å</w:t>
              </w:r>
              <w:r w:rsidRPr="00FD4FC8">
                <w:rPr>
                  <w:rFonts w:cs="Arial"/>
                  <w:i/>
                  <w:szCs w:val="22"/>
                </w:rPr>
                <w:t>rsgebyr- fast del, 60 m3, for vann og avløp, er i tabellen her kun vist for kategorien “eneboliger, tomannsboliger og tremannsboliger”. For denne kategorien er det faste beløpet satt ut ifra en bruk på 60 m3. I tabell 7 i vedlegget, vises flere ulike kategorier, og hvilken m3 nivå som er satt på disse. Dette er ut ifra vedtatt “Forskrift om vann og avløpsgebyr, Skien kommune” av 4.10.07, § 3-4.</w:t>
              </w:r>
              <w:r w:rsidRPr="00FD4FC8">
                <w:rPr>
                  <w:rFonts w:cs="Arial"/>
                  <w:szCs w:val="22"/>
                </w:rPr>
                <w:br/>
                <w:t> </w:t>
              </w:r>
            </w:p>
            <w:p w14:paraId="4CDE6C32" w14:textId="77777777" w:rsidR="008D0AF7" w:rsidRPr="00FD4FC8" w:rsidRDefault="008D0AF7" w:rsidP="008D0AF7">
              <w:pPr>
                <w:numPr>
                  <w:ilvl w:val="0"/>
                  <w:numId w:val="1"/>
                </w:numPr>
                <w:rPr>
                  <w:rFonts w:cs="Arial"/>
                  <w:szCs w:val="22"/>
                </w:rPr>
              </w:pPr>
              <w:r w:rsidRPr="00FD4FC8">
                <w:rPr>
                  <w:rFonts w:cs="Arial"/>
                  <w:i/>
                  <w:szCs w:val="22"/>
                </w:rPr>
                <w:t>Gebyrøkingene på forurensningsområdet skyldes lavere inntekter enn kostnader i perioden fra oppstart av gebyrene. Det tok lenger tid enn antatt før gebyrregulativet var på plass (i år 2022). For å få nåværende negative fond i balanse, økes gebyrene.</w:t>
              </w:r>
              <w:r w:rsidRPr="00FD4FC8">
                <w:rPr>
                  <w:rFonts w:cs="Arial"/>
                  <w:szCs w:val="22"/>
                </w:rPr>
                <w:br/>
                <w:t> </w:t>
              </w:r>
            </w:p>
            <w:p w14:paraId="0BE99CEC" w14:textId="77777777" w:rsidR="008D0AF7" w:rsidRDefault="008D0AF7" w:rsidP="008D0AF7">
              <w:pPr>
                <w:numPr>
                  <w:ilvl w:val="0"/>
                  <w:numId w:val="1"/>
                </w:numPr>
              </w:pPr>
              <w:r w:rsidRPr="00FD4FC8">
                <w:rPr>
                  <w:rFonts w:cs="Arial"/>
                  <w:i/>
                  <w:szCs w:val="22"/>
                </w:rPr>
                <w:t>Det er viktig at det vedtas like priser for RIG i alle kommuner. Dette for å kunne håndtere lik betaling uansett hvilken kommune du kommer fra. Gjenvinningsstasjonen på Eik får nå også like priser som de andre stasjonene.</w:t>
              </w:r>
              <w:r w:rsidRPr="00FD4FC8">
                <w:rPr>
                  <w:rFonts w:cs="Arial"/>
                  <w:szCs w:val="22"/>
                </w:rPr>
                <w:br/>
              </w:r>
              <w:r>
                <w:t> </w:t>
              </w:r>
            </w:p>
          </w:sdtContent>
        </w:sdt>
      </w:sdtContent>
    </w:sdt>
    <w:p w14:paraId="06F27AB2" w14:textId="77777777" w:rsidR="00A10292" w:rsidRDefault="00A10292"/>
    <w:sectPr w:rsidR="00A1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24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F7"/>
    <w:rsid w:val="00707AC3"/>
    <w:rsid w:val="008D0AF7"/>
    <w:rsid w:val="0097358B"/>
    <w:rsid w:val="00A10292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BDF4"/>
  <w15:chartTrackingRefBased/>
  <w15:docId w15:val="{9BE5FCFB-E8E7-4FE2-90BA-FD2C0383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F7"/>
    <w:pPr>
      <w:spacing w:after="0" w:line="240" w:lineRule="auto"/>
    </w:pPr>
    <w:rPr>
      <w:rFonts w:eastAsia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0A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0A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0A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0A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0A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0A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0A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0A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0A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0AF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0AF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0AF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0A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0A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0A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0A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0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0A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0A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0A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0A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0AF7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0A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0AF7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0AF7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rsid w:val="008D0AF7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Semb</dc:creator>
  <cp:keywords/>
  <dc:description/>
  <cp:lastModifiedBy>Marit Semb</cp:lastModifiedBy>
  <cp:revision>2</cp:revision>
  <dcterms:created xsi:type="dcterms:W3CDTF">2024-11-13T08:22:00Z</dcterms:created>
  <dcterms:modified xsi:type="dcterms:W3CDTF">2024-11-13T08:24:00Z</dcterms:modified>
</cp:coreProperties>
</file>