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6.0 -->
  <w:body>
    <w:tbl>
      <w:tblPr>
        <w:tblStyle w:val="TableGrid"/>
        <w:tblW w:w="52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tblPr>
      <w:tblGrid>
        <w:gridCol w:w="5529"/>
        <w:gridCol w:w="4261"/>
      </w:tblGrid>
      <w:tr w14:paraId="2976F988" w14:textId="77777777" w:rsidTr="006B1518">
        <w:tblPrEx>
          <w:tblW w:w="52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tblPrEx>
        <w:trPr>
          <w:trHeight w:val="429"/>
        </w:trPr>
        <w:tc>
          <w:tcPr>
            <w:tcW w:w="2824" w:type="pct"/>
          </w:tcPr>
          <w:p w:rsidR="006B1518" w:rsidP="009C4944" w14:paraId="377ED88D" w14:textId="77777777">
            <w:pPr>
              <w:rPr>
                <w:rFonts w:asciiTheme="minorHAnsi" w:hAnsiTheme="minorHAnsi"/>
                <w:lang w:eastAsia="nn-NO"/>
              </w:rPr>
            </w:pPr>
          </w:p>
          <w:p w:rsidR="006B1518" w:rsidP="009C4944" w14:paraId="184674A3" w14:textId="77777777">
            <w:pPr>
              <w:rPr>
                <w:rFonts w:asciiTheme="minorHAnsi" w:hAnsiTheme="minorHAnsi"/>
                <w:lang w:eastAsia="nn-NO"/>
              </w:rPr>
            </w:pPr>
          </w:p>
          <w:p w:rsidR="006B1518" w:rsidP="009C4944" w14:paraId="61F55BC4" w14:textId="77777777">
            <w:pPr>
              <w:rPr>
                <w:rFonts w:asciiTheme="minorHAnsi" w:hAnsiTheme="minorHAnsi"/>
                <w:lang w:eastAsia="nn-NO"/>
              </w:rPr>
            </w:pPr>
            <w:r>
              <w:rPr>
                <w:rFonts w:asciiTheme="minorHAnsi" w:hAnsiTheme="minorHAnsi"/>
                <w:lang w:eastAsia="nn-NO"/>
              </w:rPr>
              <w:t xml:space="preserve"> </w:t>
            </w:r>
          </w:p>
          <w:p w:rsidR="006B1518" w:rsidRPr="00666899" w:rsidP="009C4944" w14:paraId="1CCE6425" w14:textId="77777777">
            <w:pPr>
              <w:rPr>
                <w:rFonts w:asciiTheme="minorHAnsi" w:hAnsiTheme="minorHAnsi"/>
                <w:lang w:eastAsia="nn-NO"/>
              </w:rPr>
            </w:pPr>
          </w:p>
          <w:p w:rsidR="006B1518" w:rsidRPr="00666899" w:rsidP="009C4944" w14:paraId="34E48F2C" w14:textId="77777777">
            <w:pPr>
              <w:rPr>
                <w:rFonts w:asciiTheme="minorHAnsi" w:hAnsiTheme="minorHAnsi"/>
                <w:lang w:eastAsia="nn-NO"/>
              </w:rPr>
            </w:pPr>
          </w:p>
        </w:tc>
        <w:tc>
          <w:tcPr>
            <w:tcW w:w="2176" w:type="pct"/>
            <w:hideMark/>
          </w:tcPr>
          <w:p w:rsidR="006B1518" w:rsidRPr="00767BDD" w:rsidP="009C4944" w14:paraId="3F555982" w14:textId="77777777">
            <w:pPr>
              <w:rPr>
                <w:rFonts w:cs="Arial"/>
                <w:sz w:val="18"/>
                <w:szCs w:val="18"/>
              </w:rPr>
            </w:pPr>
            <w:r w:rsidRPr="00767BDD">
              <w:rPr>
                <w:rFonts w:cs="Arial"/>
                <w:sz w:val="18"/>
                <w:szCs w:val="18"/>
              </w:rPr>
              <w:t>Dato</w:t>
            </w:r>
            <w:r>
              <w:rPr>
                <w:rFonts w:cs="Arial"/>
                <w:sz w:val="18"/>
                <w:szCs w:val="18"/>
              </w:rPr>
              <w:t>:</w:t>
            </w:r>
            <w:bookmarkStart w:id="0" w:name="Brevdato"/>
            <w:r>
              <w:rPr>
                <w:rFonts w:cs="Arial"/>
                <w:sz w:val="18"/>
                <w:szCs w:val="18"/>
              </w:rPr>
              <w:t>10.04.2025</w:t>
            </w:r>
            <w:bookmarkEnd w:id="0"/>
            <w:r>
              <w:rPr>
                <w:rFonts w:cs="Arial"/>
                <w:sz w:val="18"/>
                <w:szCs w:val="18"/>
              </w:rPr>
              <w:t xml:space="preserve"> </w:t>
            </w:r>
            <w:r w:rsidRPr="00767BDD">
              <w:rPr>
                <w:rFonts w:cs="Arial"/>
                <w:sz w:val="18"/>
                <w:szCs w:val="18"/>
              </w:rPr>
              <w:t xml:space="preserve"> </w:t>
            </w:r>
            <w:r w:rsidRPr="00767BDD">
              <w:rPr>
                <w:rFonts w:cs="Arial"/>
                <w:sz w:val="18"/>
                <w:szCs w:val="18"/>
              </w:rPr>
              <w:tab/>
            </w:r>
            <w:r>
              <w:rPr>
                <w:rFonts w:cs="Arial"/>
                <w:sz w:val="18"/>
                <w:szCs w:val="18"/>
              </w:rPr>
              <w:t xml:space="preserve">        </w:t>
            </w:r>
          </w:p>
          <w:p w:rsidR="006B1518" w:rsidRPr="00767BDD" w:rsidP="009C4944" w14:paraId="4857B7DA" w14:textId="77777777">
            <w:pPr>
              <w:rPr>
                <w:rFonts w:cs="Arial"/>
                <w:bCs/>
                <w:sz w:val="18"/>
                <w:szCs w:val="18"/>
              </w:rPr>
            </w:pPr>
            <w:r w:rsidRPr="00767BDD">
              <w:rPr>
                <w:rFonts w:cs="Arial"/>
                <w:bCs/>
                <w:sz w:val="18"/>
                <w:szCs w:val="18"/>
              </w:rPr>
              <w:t>Vår referanse</w:t>
            </w:r>
            <w:r>
              <w:rPr>
                <w:rFonts w:cs="Arial"/>
                <w:bCs/>
                <w:sz w:val="18"/>
                <w:szCs w:val="18"/>
              </w:rPr>
              <w:t xml:space="preserve">: </w:t>
            </w:r>
            <w:bookmarkStart w:id="1" w:name="Saksnr"/>
            <w:r w:rsidRPr="00767BDD">
              <w:rPr>
                <w:rFonts w:cs="Arial"/>
                <w:bCs/>
                <w:sz w:val="18"/>
                <w:szCs w:val="18"/>
              </w:rPr>
              <w:t>2022/125</w:t>
            </w:r>
            <w:bookmarkEnd w:id="1"/>
            <w:r w:rsidRPr="00767BDD">
              <w:rPr>
                <w:rFonts w:cs="Arial"/>
                <w:bCs/>
                <w:sz w:val="18"/>
                <w:szCs w:val="18"/>
              </w:rPr>
              <w:t>-</w:t>
            </w:r>
            <w:bookmarkStart w:id="2" w:name="NrISak"/>
            <w:r w:rsidRPr="00767BDD">
              <w:rPr>
                <w:rFonts w:cs="Arial"/>
                <w:bCs/>
                <w:sz w:val="18"/>
                <w:szCs w:val="18"/>
              </w:rPr>
              <w:t>46</w:t>
            </w:r>
            <w:bookmarkEnd w:id="2"/>
          </w:p>
          <w:p w:rsidR="006B1518" w:rsidRPr="00767BDD" w:rsidP="009C4944" w14:paraId="6835080D" w14:textId="77777777">
            <w:pPr>
              <w:rPr>
                <w:rFonts w:cs="Arial"/>
                <w:bCs/>
                <w:sz w:val="18"/>
                <w:szCs w:val="18"/>
              </w:rPr>
            </w:pPr>
            <w:r w:rsidRPr="00767BDD">
              <w:rPr>
                <w:rFonts w:cs="Arial"/>
                <w:bCs/>
                <w:sz w:val="18"/>
                <w:szCs w:val="18"/>
              </w:rPr>
              <w:t>Sakshandsamar</w:t>
            </w:r>
            <w:r>
              <w:rPr>
                <w:rFonts w:cs="Arial"/>
                <w:bCs/>
                <w:sz w:val="18"/>
                <w:szCs w:val="18"/>
              </w:rPr>
              <w:t>:</w:t>
            </w:r>
            <w:bookmarkStart w:id="3" w:name="SAKSBEHANDLERNAVN"/>
            <w:r>
              <w:rPr>
                <w:rFonts w:cs="Arial"/>
                <w:bCs/>
                <w:sz w:val="18"/>
                <w:szCs w:val="18"/>
              </w:rPr>
              <w:t>Anne-Sofie Bergene Strømme</w:t>
            </w:r>
            <w:bookmarkEnd w:id="3"/>
            <w:r>
              <w:rPr>
                <w:rFonts w:cs="Arial"/>
                <w:bCs/>
                <w:sz w:val="18"/>
                <w:szCs w:val="18"/>
              </w:rPr>
              <w:t xml:space="preserve"> </w:t>
            </w:r>
            <w:r w:rsidRPr="00767BDD">
              <w:rPr>
                <w:rFonts w:cs="Arial"/>
                <w:bCs/>
                <w:sz w:val="18"/>
                <w:szCs w:val="18"/>
              </w:rPr>
              <w:tab/>
            </w:r>
          </w:p>
          <w:p w:rsidR="006B1518" w:rsidRPr="00767BDD" w:rsidP="009C4944" w14:paraId="5582BD1A" w14:textId="77777777">
            <w:pPr>
              <w:tabs>
                <w:tab w:val="left" w:pos="1413"/>
              </w:tabs>
              <w:rPr>
                <w:rFonts w:asciiTheme="minorHAnsi" w:hAnsiTheme="minorHAnsi"/>
                <w:bCs/>
                <w:sz w:val="18"/>
                <w:szCs w:val="18"/>
              </w:rPr>
            </w:pPr>
          </w:p>
          <w:p w:rsidR="006B1518" w:rsidRPr="00666899" w:rsidP="009C4944" w14:paraId="139D7B3F" w14:textId="77777777">
            <w:pPr>
              <w:rPr>
                <w:rFonts w:asciiTheme="minorHAnsi" w:hAnsiTheme="minorHAnsi"/>
                <w:sz w:val="18"/>
                <w:szCs w:val="18"/>
              </w:rPr>
            </w:pPr>
          </w:p>
          <w:p w:rsidR="006B1518" w:rsidRPr="00F02EB5" w:rsidP="009C4944" w14:paraId="1B8DC979" w14:textId="77777777">
            <w:pPr>
              <w:tabs>
                <w:tab w:val="left" w:pos="1400"/>
              </w:tabs>
              <w:rPr>
                <w:rFonts w:cs="Calibri"/>
                <w:sz w:val="18"/>
                <w:szCs w:val="18"/>
              </w:rPr>
            </w:pPr>
            <w:bookmarkStart w:id="4" w:name="UOFFPARAGRAF"/>
            <w:bookmarkEnd w:id="4"/>
          </w:p>
        </w:tc>
      </w:tr>
    </w:tbl>
    <w:p w:rsidR="006B1518" w:rsidP="006B1518" w14:paraId="544F9053" w14:textId="77777777">
      <w:pPr>
        <w:rPr>
          <w:b/>
          <w:bCs/>
        </w:rPr>
      </w:pPr>
    </w:p>
    <w:p w:rsidR="00501F0B" w:rsidRPr="0055461C" w:rsidP="0055461C" w14:paraId="0B60A9A8" w14:textId="77777777">
      <w:pPr>
        <w:jc w:val="right"/>
        <w:rPr>
          <w:b/>
          <w:bCs/>
        </w:rPr>
      </w:pPr>
      <w:r w:rsidRPr="0055461C">
        <w:rPr>
          <w:b/>
          <w:bCs/>
        </w:rPr>
        <w:t>Internt notat</w:t>
      </w:r>
    </w:p>
    <w:tbl>
      <w:tblPr>
        <w:tblStyle w:val="TableGrid"/>
        <w:tblW w:w="0" w:type="auto"/>
        <w:tblLook w:val="04A0"/>
      </w:tblPr>
      <w:tblGrid>
        <w:gridCol w:w="9333"/>
      </w:tblGrid>
      <w:tr w14:paraId="785C6E73" w14:textId="77777777" w:rsidTr="006E0433">
        <w:tblPrEx>
          <w:tblW w:w="0" w:type="auto"/>
          <w:tblLook w:val="04A0"/>
        </w:tblPrEx>
        <w:tc>
          <w:tcPr>
            <w:tcW w:w="9333" w:type="dxa"/>
          </w:tcPr>
          <w:p w:rsidR="006E0433" w:rsidP="00501F0B" w14:paraId="16593BEB" w14:textId="77777777">
            <w:pPr>
              <w:spacing w:line="250" w:lineRule="atLeast"/>
              <w:rPr>
                <w:rFonts w:eastAsia="Times New Roman" w:cs="Arial"/>
                <w:color w:val="000000" w:themeColor="text1"/>
                <w:sz w:val="22"/>
              </w:rPr>
            </w:pPr>
            <w:r>
              <w:rPr>
                <w:rFonts w:eastAsia="Times New Roman" w:cs="Arial"/>
                <w:color w:val="000000" w:themeColor="text1"/>
                <w:sz w:val="22"/>
              </w:rPr>
              <w:t xml:space="preserve">Til: </w:t>
            </w:r>
            <w:bookmarkStart w:id="5" w:name="INTERNEMOTTAKERETABELL_liste"/>
            <w:bookmarkEnd w:id="5"/>
          </w:p>
        </w:tc>
      </w:tr>
    </w:tbl>
    <w:p w:rsidR="0055461C" w:rsidP="00501F0B" w14:paraId="0D0627F1" w14:textId="77777777">
      <w:pPr>
        <w:spacing w:line="250" w:lineRule="atLeast"/>
        <w:rPr>
          <w:rFonts w:eastAsia="Times New Roman" w:cs="Arial"/>
          <w:color w:val="000000" w:themeColor="text1"/>
          <w:sz w:val="22"/>
        </w:rPr>
      </w:pPr>
    </w:p>
    <w:p w:rsidR="006B1518" w:rsidRPr="009F1BA0" w:rsidP="00501F0B" w14:paraId="40370D43" w14:textId="77777777">
      <w:pPr>
        <w:spacing w:line="250" w:lineRule="atLeast"/>
        <w:rPr>
          <w:rFonts w:eastAsia="Times New Roman" w:cs="Arial"/>
          <w:color w:val="000000" w:themeColor="text1"/>
          <w:sz w:val="22"/>
        </w:rPr>
      </w:pPr>
    </w:p>
    <w:p w:rsidR="00501F0B" w:rsidRPr="009F1BA0" w:rsidP="00BE248A" w14:paraId="1B048C79" w14:textId="77777777">
      <w:pPr>
        <w:pStyle w:val="Title"/>
      </w:pPr>
      <w:bookmarkStart w:id="6" w:name="Tittel"/>
      <w:r w:rsidRPr="009F1BA0">
        <w:t>Storrlineset del 2, planID 20210002 - vurdering villrein</w:t>
      </w:r>
      <w:bookmarkEnd w:id="6"/>
    </w:p>
    <w:p w:rsidR="00501F0B" w:rsidRPr="0049566A" w:rsidP="00501F0B" w14:paraId="188DBC3A" w14:textId="77777777">
      <w:pPr>
        <w:rPr>
          <w:color w:val="000000" w:themeColor="text1"/>
          <w:szCs w:val="24"/>
        </w:rPr>
      </w:pPr>
      <w:bookmarkStart w:id="7" w:name="Start"/>
      <w:bookmarkEnd w:id="7"/>
    </w:p>
    <w:p w:rsidR="00501F0B" w:rsidRPr="009F1BA0" w:rsidP="00501F0B" w14:paraId="107AAE60" w14:textId="77777777"/>
    <w:p w:rsidR="005F1094" w:rsidRPr="00247435" w:rsidP="005F1094" w14:paraId="60D7E66F" w14:textId="64F18135">
      <w:pPr>
        <w:rPr>
          <w:u w:val="single"/>
        </w:rPr>
      </w:pPr>
      <w:r w:rsidRPr="00247435">
        <w:rPr>
          <w:u w:val="single"/>
        </w:rPr>
        <w:t>Villrein</w:t>
      </w:r>
    </w:p>
    <w:p w:rsidR="005F1094" w:rsidP="005F1094" w14:paraId="55B0213D" w14:textId="44B34DAE">
      <w:r w:rsidRPr="00DE40A3">
        <w:t xml:space="preserve">Planområdet ligg innafor Regional plan for Hardangervidda og Regional plan for Setesdalsheiene (Heiplanen). </w:t>
      </w:r>
      <w:r>
        <w:t xml:space="preserve">Føremålet med dei regionale planane for villrein er å sikre ein langsiktig og heilskapleg strategi for bruk av areal som er viktige leveområde for villrein eller har innverknad på villreinen sine leveområde. </w:t>
      </w:r>
    </w:p>
    <w:p w:rsidR="005F1094" w:rsidP="005F1094" w14:paraId="60F81718" w14:textId="1441C185"/>
    <w:p w:rsidR="005F1094" w:rsidP="005F1094" w14:paraId="289AF02D" w14:textId="6F232DE4">
      <w:r w:rsidRPr="004E754D">
        <w:t>Planområdet ligger mellom leveområda til villreinen på Hardangervidda og i Setesdalsheiene. Leveområda råkar ikkje sjølve planområdet</w:t>
      </w:r>
      <w:r>
        <w:t xml:space="preserve"> (figur  1)</w:t>
      </w:r>
      <w:r w:rsidRPr="004E754D">
        <w:t>.</w:t>
      </w:r>
      <w:r>
        <w:t xml:space="preserve"> </w:t>
      </w:r>
      <w:r w:rsidRPr="001246FA">
        <w:t>Dei regionale planane sikrar leveområda til reinen</w:t>
      </w:r>
      <w:r>
        <w:t>, s</w:t>
      </w:r>
      <w:r w:rsidRPr="001246FA">
        <w:t xml:space="preserve">amstundes syner </w:t>
      </w:r>
      <w:r>
        <w:t>desse</w:t>
      </w:r>
      <w:r w:rsidRPr="001246FA">
        <w:t xml:space="preserve"> regionale planane dei områda som det framleis kan opnast for utbygging. </w:t>
      </w:r>
      <w:r>
        <w:t>Planområdet</w:t>
      </w:r>
      <w:r w:rsidRPr="001246FA">
        <w:t xml:space="preserve"> ligg i ei slik utbyggingssone</w:t>
      </w:r>
      <w:r>
        <w:t>/bygdeutviklingssone.</w:t>
      </w:r>
    </w:p>
    <w:p w:rsidR="005F1094" w14:paraId="25CAD9A7" w14:textId="4791022B">
      <w:pPr>
        <w:spacing w:after="200" w:line="276" w:lineRule="auto"/>
      </w:pPr>
      <w:r w:rsidRPr="004E754D">
        <w:drawing>
          <wp:anchor distT="0" distB="0" distL="114300" distR="114300" simplePos="0" relativeHeight="251662336" behindDoc="1" locked="0" layoutInCell="1" allowOverlap="1">
            <wp:simplePos x="0" y="0"/>
            <wp:positionH relativeFrom="column">
              <wp:posOffset>113030</wp:posOffset>
            </wp:positionH>
            <wp:positionV relativeFrom="paragraph">
              <wp:posOffset>172085</wp:posOffset>
            </wp:positionV>
            <wp:extent cx="4410075" cy="3062605"/>
            <wp:effectExtent l="0" t="0" r="9525" b="4445"/>
            <wp:wrapTight wrapText="bothSides">
              <wp:wrapPolygon>
                <wp:start x="0" y="0"/>
                <wp:lineTo x="0" y="21497"/>
                <wp:lineTo x="21553" y="21497"/>
                <wp:lineTo x="21553" y="0"/>
                <wp:lineTo x="0" y="0"/>
              </wp:wrapPolygon>
            </wp:wrapTight>
            <wp:docPr id="30859228" name="Bilde 4" descr="Et bilde som inneholder tekst, kart, atla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9228" name="Bilde 4" descr="Et bilde som inneholder tekst, kart, atlas&#10;&#10;KI-generert innhold kan være feil."/>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r="22879"/>
                    <a:stretch>
                      <a:fillRect/>
                    </a:stretch>
                  </pic:blipFill>
                  <pic:spPr bwMode="auto">
                    <a:xfrm>
                      <a:off x="0" y="0"/>
                      <a:ext cx="4410075" cy="306260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mc:AlternateContent>
          <mc:Choice Requires="wps">
            <w:drawing>
              <wp:anchor distT="0" distB="0" distL="114300" distR="114300" simplePos="0" relativeHeight="251663360" behindDoc="1" locked="0" layoutInCell="1" allowOverlap="1">
                <wp:simplePos x="0" y="0"/>
                <wp:positionH relativeFrom="column">
                  <wp:posOffset>113665</wp:posOffset>
                </wp:positionH>
                <wp:positionV relativeFrom="paragraph">
                  <wp:posOffset>3296285</wp:posOffset>
                </wp:positionV>
                <wp:extent cx="4343400" cy="635"/>
                <wp:effectExtent l="0" t="0" r="0" b="0"/>
                <wp:wrapTight wrapText="bothSides">
                  <wp:wrapPolygon>
                    <wp:start x="0" y="0"/>
                    <wp:lineTo x="0" y="20057"/>
                    <wp:lineTo x="21505" y="20057"/>
                    <wp:lineTo x="21505" y="0"/>
                    <wp:lineTo x="0" y="0"/>
                  </wp:wrapPolygon>
                </wp:wrapTight>
                <wp:docPr id="506458179" name="Tekstboks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343400" cy="635"/>
                        </a:xfrm>
                        <a:prstGeom prst="rect">
                          <a:avLst/>
                        </a:prstGeom>
                        <a:solidFill>
                          <a:prstClr val="white"/>
                        </a:solidFill>
                        <a:ln>
                          <a:noFill/>
                        </a:ln>
                      </wps:spPr>
                      <wps:txbx>
                        <w:txbxContent>
                          <w:p w:rsidR="005F1094" w:rsidRPr="00487F9C" w:rsidP="005F1094" w14:textId="77777777">
                            <w:pPr>
                              <w:pStyle w:val="Caption"/>
                              <w:rPr>
                                <w:noProof/>
                                <w:color w:val="auto"/>
                              </w:rPr>
                            </w:pPr>
                            <w:r w:rsidRPr="00487F9C">
                              <w:rPr>
                                <w:b/>
                                <w:bCs/>
                                <w:color w:val="auto"/>
                              </w:rPr>
                              <w:t xml:space="preserve">Figur </w:t>
                            </w:r>
                            <w:r w:rsidRPr="00487F9C">
                              <w:rPr>
                                <w:b/>
                                <w:bCs/>
                                <w:color w:val="auto"/>
                              </w:rPr>
                              <w:fldChar w:fldCharType="begin"/>
                            </w:r>
                            <w:r w:rsidRPr="00487F9C">
                              <w:rPr>
                                <w:b/>
                                <w:bCs/>
                                <w:color w:val="auto"/>
                              </w:rPr>
                              <w:instrText xml:space="preserve"> SEQ Figur \* ARABIC </w:instrText>
                            </w:r>
                            <w:r w:rsidRPr="00487F9C">
                              <w:rPr>
                                <w:b/>
                                <w:bCs/>
                                <w:color w:val="auto"/>
                              </w:rPr>
                              <w:fldChar w:fldCharType="separate"/>
                            </w:r>
                            <w:r w:rsidRPr="00487F9C">
                              <w:rPr>
                                <w:b/>
                                <w:bCs/>
                                <w:noProof/>
                                <w:color w:val="auto"/>
                              </w:rPr>
                              <w:t>1</w:t>
                            </w:r>
                            <w:r w:rsidRPr="00487F9C">
                              <w:rPr>
                                <w:b/>
                                <w:bCs/>
                                <w:color w:val="auto"/>
                              </w:rPr>
                              <w:fldChar w:fldCharType="end"/>
                            </w:r>
                            <w:r w:rsidRPr="00487F9C">
                              <w:rPr>
                                <w:color w:val="auto"/>
                              </w:rPr>
                              <w:t>. Kartutsnitt som syner villreinområde merka med blått. Kjelde: Naturbase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kstboks 1" o:spid="_x0000_s1026" type="#_x0000_t202" style="width:342pt;height:0.05pt;margin-top:259.55pt;margin-left:8.95pt;mso-width-percent:0;mso-width-relative:margin;mso-wrap-distance-bottom:0;mso-wrap-distance-left:9pt;mso-wrap-distance-right:9pt;mso-wrap-distance-top:0;mso-wrap-style:square;position:absolute;v-text-anchor:top;visibility:visible;z-index:-251652096" stroked="f">
                <v:textbox style="mso-fit-shape-to-text:t" inset="0,0,0,0">
                  <w:txbxContent>
                    <w:p w:rsidR="005F1094" w:rsidRPr="00487F9C" w:rsidP="005F1094" w14:paraId="1B77F106" w14:textId="77777777">
                      <w:pPr>
                        <w:pStyle w:val="Caption"/>
                        <w:rPr>
                          <w:noProof/>
                          <w:color w:val="auto"/>
                        </w:rPr>
                      </w:pPr>
                      <w:r w:rsidRPr="00487F9C">
                        <w:rPr>
                          <w:b/>
                          <w:bCs/>
                          <w:color w:val="auto"/>
                        </w:rPr>
                        <w:t xml:space="preserve">Figur </w:t>
                      </w:r>
                      <w:r w:rsidRPr="00487F9C">
                        <w:rPr>
                          <w:b/>
                          <w:bCs/>
                          <w:color w:val="auto"/>
                        </w:rPr>
                        <w:fldChar w:fldCharType="begin"/>
                      </w:r>
                      <w:r w:rsidRPr="00487F9C">
                        <w:rPr>
                          <w:b/>
                          <w:bCs/>
                          <w:color w:val="auto"/>
                        </w:rPr>
                        <w:instrText xml:space="preserve"> SEQ Figur \* ARABIC </w:instrText>
                      </w:r>
                      <w:r w:rsidRPr="00487F9C">
                        <w:rPr>
                          <w:b/>
                          <w:bCs/>
                          <w:color w:val="auto"/>
                        </w:rPr>
                        <w:fldChar w:fldCharType="separate"/>
                      </w:r>
                      <w:r w:rsidRPr="00487F9C">
                        <w:rPr>
                          <w:b/>
                          <w:bCs/>
                          <w:noProof/>
                          <w:color w:val="auto"/>
                        </w:rPr>
                        <w:t>1</w:t>
                      </w:r>
                      <w:r w:rsidRPr="00487F9C">
                        <w:rPr>
                          <w:b/>
                          <w:bCs/>
                          <w:color w:val="auto"/>
                        </w:rPr>
                        <w:fldChar w:fldCharType="end"/>
                      </w:r>
                      <w:r w:rsidRPr="00487F9C">
                        <w:rPr>
                          <w:color w:val="auto"/>
                        </w:rPr>
                        <w:t>. Kartutsnitt som syner villreinområde merka med blått. Kjelde: Naturbase</w:t>
                      </w:r>
                    </w:p>
                  </w:txbxContent>
                </v:textbox>
                <w10:wrap type="tight"/>
              </v:shape>
            </w:pict>
          </mc:Fallback>
        </mc:AlternateContent>
      </w:r>
      <w:r>
        <w:br w:type="page"/>
      </w:r>
    </w:p>
    <w:p w:rsidR="005F1094" w:rsidP="005F1094" w14:paraId="5AFCBCDF" w14:textId="29567981"/>
    <w:p w:rsidR="005F1094" w:rsidRPr="00DE40A3" w:rsidP="005F1094" w14:paraId="2CE69EA4" w14:textId="656B7341">
      <w:r w:rsidRPr="00DE40A3">
        <w:rPr>
          <w:lang w:val="nb-NO"/>
        </w:rPr>
        <mc:AlternateContent>
          <mc:Choice Requires="wps">
            <w:drawing>
              <wp:anchor distT="45720" distB="45720" distL="114300" distR="114300" simplePos="0" relativeHeight="251660288" behindDoc="0" locked="0" layoutInCell="1" allowOverlap="1">
                <wp:simplePos x="0" y="0"/>
                <wp:positionH relativeFrom="column">
                  <wp:posOffset>12829</wp:posOffset>
                </wp:positionH>
                <wp:positionV relativeFrom="paragraph">
                  <wp:posOffset>485367</wp:posOffset>
                </wp:positionV>
                <wp:extent cx="6097270" cy="1723644"/>
                <wp:effectExtent l="0" t="0" r="17780" b="11430"/>
                <wp:wrapSquare wrapText="bothSides"/>
                <wp:docPr id="2018916074" name="Tekstboks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723644"/>
                        </a:xfrm>
                        <a:prstGeom prst="rect">
                          <a:avLst/>
                        </a:prstGeom>
                        <a:solidFill>
                          <a:srgbClr val="FFFFFF"/>
                        </a:solidFill>
                        <a:ln w="9525">
                          <a:solidFill>
                            <a:srgbClr val="000000"/>
                          </a:solidFill>
                          <a:miter lim="800000"/>
                          <a:headEnd/>
                          <a:tailEnd/>
                        </a:ln>
                      </wps:spPr>
                      <wps:txbx>
                        <w:txbxContent>
                          <w:p w:rsidR="005F1094" w:rsidRPr="00DE40A3" w:rsidP="005F1094" w14:textId="77777777">
                            <w:pPr>
                              <w:rPr>
                                <w:sz w:val="20"/>
                                <w:szCs w:val="20"/>
                                <w:lang w:val="nb-NO"/>
                              </w:rPr>
                            </w:pPr>
                            <w:r w:rsidRPr="00DE40A3">
                              <w:rPr>
                                <w:sz w:val="20"/>
                                <w:szCs w:val="20"/>
                                <w:lang w:val="nb-NO"/>
                              </w:rPr>
                              <w:t>«</w:t>
                            </w:r>
                            <w:r w:rsidRPr="00DE40A3">
                              <w:rPr>
                                <w:i/>
                                <w:iCs/>
                                <w:sz w:val="20"/>
                                <w:szCs w:val="20"/>
                                <w:lang w:val="nb-NO"/>
                              </w:rPr>
                              <w:t>Områdene er vedtatt disponert til dette formålet i gjeldende kommunale planer (kommuneplaner og reguleringsplaner) eller avklart for videre utvikling innenfor dette formålet gjennom denne planprosessen. De største reiselivsdestinasjonene i planområdet ligger ved Skinnarbu, Vierli, Rauland, Vågslid, Sysendalen, Dagali og Uvdal. Andre reiselivsdestinasjoner som Vegglifjell, Røldal og Geilo ligger rett utenfor planområdet, men kanaliserer trafikk inn i det</w:t>
                            </w:r>
                            <w:r w:rsidRPr="00DE40A3">
                              <w:rPr>
                                <w:sz w:val="20"/>
                                <w:szCs w:val="20"/>
                                <w:lang w:val="nb-NO"/>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boks 2" o:spid="_x0000_s1027" type="#_x0000_t202" style="width:480.1pt;height:110.6pt;margin-top:38.2pt;margin-left:1pt;mso-height-percent:200;mso-height-relative:margin;mso-width-percent:0;mso-width-relative:margin;mso-wrap-distance-bottom:3.6pt;mso-wrap-distance-left:9pt;mso-wrap-distance-right:9pt;mso-wrap-distance-top:3.6pt;mso-wrap-style:square;position:absolute;v-text-anchor:top;visibility:visible;z-index:251661312">
                <v:textbox style="mso-fit-shape-to-text:t">
                  <w:txbxContent>
                    <w:p w:rsidR="005F1094" w:rsidRPr="00DE40A3" w:rsidP="005F1094" w14:paraId="64F65DE3" w14:textId="77777777">
                      <w:pPr>
                        <w:rPr>
                          <w:sz w:val="20"/>
                          <w:szCs w:val="20"/>
                          <w:lang w:val="nb-NO"/>
                        </w:rPr>
                      </w:pPr>
                      <w:r w:rsidRPr="00DE40A3">
                        <w:rPr>
                          <w:sz w:val="20"/>
                          <w:szCs w:val="20"/>
                          <w:lang w:val="nb-NO"/>
                        </w:rPr>
                        <w:t>«</w:t>
                      </w:r>
                      <w:r w:rsidRPr="00DE40A3">
                        <w:rPr>
                          <w:i/>
                          <w:iCs/>
                          <w:sz w:val="20"/>
                          <w:szCs w:val="20"/>
                          <w:lang w:val="nb-NO"/>
                        </w:rPr>
                        <w:t>Områdene er vedtatt disponert til dette formålet i gjeldende kommunale planer (kommuneplaner og reguleringsplaner) eller avklart for videre utvikling innenfor dette formålet gjennom denne planprosessen. De største reiselivsdestinasjonene i planområdet ligger ved Skinnarbu, Vierli, Rauland, Vågslid, Sysendalen, Dagali og Uvdal. Andre reiselivsdestinasjoner som Vegglifjell, Røldal og Geilo ligger rett utenfor planområdet, men kanaliserer trafikk inn i det</w:t>
                      </w:r>
                      <w:r w:rsidRPr="00DE40A3">
                        <w:rPr>
                          <w:sz w:val="20"/>
                          <w:szCs w:val="20"/>
                          <w:lang w:val="nb-NO"/>
                        </w:rPr>
                        <w:t>».</w:t>
                      </w:r>
                    </w:p>
                  </w:txbxContent>
                </v:textbox>
                <w10:wrap type="square"/>
              </v:shape>
            </w:pict>
          </mc:Fallback>
        </mc:AlternateContent>
      </w:r>
      <w:r w:rsidRPr="00DE40A3">
        <w:t>I regional plan for Hardangervidda er planområdet innanfor «</w:t>
      </w:r>
      <w:r w:rsidRPr="00DE40A3">
        <w:rPr>
          <w:i/>
          <w:iCs/>
        </w:rPr>
        <w:t>Utbyggingssone</w:t>
      </w:r>
      <w:r w:rsidRPr="00DE40A3">
        <w:t>», på s. 27 står det f</w:t>
      </w:r>
      <w:r>
        <w:t>y</w:t>
      </w:r>
      <w:r w:rsidRPr="00DE40A3">
        <w:t>lgjande om denne sona:</w:t>
      </w:r>
    </w:p>
    <w:p w:rsidR="005F1094" w:rsidRPr="00DE40A3" w:rsidP="005F1094" w14:paraId="2660B513" w14:textId="5F53453A">
      <w:r w:rsidRPr="00DE40A3">
        <w:rPr>
          <w:lang w:val="nb-NO"/>
        </w:rPr>
        <mc:AlternateContent>
          <mc:Choice Requires="wps">
            <w:drawing>
              <wp:anchor distT="45720" distB="45720" distL="114300" distR="114300" simplePos="0" relativeHeight="251658240" behindDoc="0" locked="0" layoutInCell="1" allowOverlap="1">
                <wp:simplePos x="0" y="0"/>
                <wp:positionH relativeFrom="column">
                  <wp:posOffset>16510</wp:posOffset>
                </wp:positionH>
                <wp:positionV relativeFrom="paragraph">
                  <wp:posOffset>1567180</wp:posOffset>
                </wp:positionV>
                <wp:extent cx="6097270" cy="1050925"/>
                <wp:effectExtent l="0" t="0" r="17780" b="15875"/>
                <wp:wrapSquare wrapText="bothSides"/>
                <wp:docPr id="217" name="Tekstboks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7270" cy="1050925"/>
                        </a:xfrm>
                        <a:prstGeom prst="rect">
                          <a:avLst/>
                        </a:prstGeom>
                        <a:solidFill>
                          <a:srgbClr val="FFFFFF"/>
                        </a:solidFill>
                        <a:ln w="9525">
                          <a:solidFill>
                            <a:srgbClr val="000000"/>
                          </a:solidFill>
                          <a:miter lim="800000"/>
                          <a:headEnd/>
                          <a:tailEnd/>
                        </a:ln>
                      </wps:spPr>
                      <wps:txbx>
                        <w:txbxContent>
                          <w:p w:rsidR="005F1094" w:rsidRPr="00DE40A3" w:rsidP="005F1094" w14:textId="77777777">
                            <w:pPr>
                              <w:rPr>
                                <w:sz w:val="20"/>
                                <w:szCs w:val="20"/>
                                <w:lang w:val="nb-NO"/>
                              </w:rPr>
                            </w:pPr>
                            <w:r w:rsidRPr="00DE40A3">
                              <w:rPr>
                                <w:sz w:val="20"/>
                                <w:szCs w:val="20"/>
                                <w:lang w:val="nb-NO"/>
                              </w:rPr>
                              <w:t>«</w:t>
                            </w:r>
                            <w:r w:rsidRPr="00DE40A3">
                              <w:rPr>
                                <w:i/>
                                <w:iCs/>
                                <w:sz w:val="20"/>
                                <w:szCs w:val="20"/>
                                <w:lang w:val="nb-NO"/>
                              </w:rPr>
                              <w:t>Områdene kan videreutvikles, bebygges og fortettes med fritidsbygg og reiselivsanlegg i henhold til vedtatte kommuneplaner og reguleringsplaner. Noe fast bosetting inngår også i denne sonen. Ved revidering av kommuneplaner og reguleringsplaner i denne sonen forutsettes det at arealer innenfor villreinens leveområder (jf. NVS rapport 7, 2010) opprettholdes som grønn struktur. Ved videre planlegging i slike områder skal kommunene følge opp de felles retningslinjene i §2. Fortetting og videre utvikling i etablerte områder bør prioriteres før det åpnes for utbygging i nye områder».</w:t>
                            </w:r>
                          </w:p>
                          <w:p w:rsidR="005F1094" w:rsidRPr="00DE40A3" w:rsidP="005F1094" w14:textId="77777777">
                            <w:pPr>
                              <w:rPr>
                                <w:lang w:val="nb-NO"/>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80.1pt;height:82.75pt;margin-top:123.4pt;margin-left:1.3pt;mso-height-percent:0;mso-height-relative:margin;mso-width-percent:0;mso-width-relative:margin;mso-wrap-distance-bottom:3.6pt;mso-wrap-distance-left:9pt;mso-wrap-distance-right:9pt;mso-wrap-distance-top:3.6pt;mso-wrap-style:square;position:absolute;v-text-anchor:top;visibility:visible;z-index:251659264">
                <v:textbox>
                  <w:txbxContent>
                    <w:p w:rsidR="005F1094" w:rsidRPr="00DE40A3" w:rsidP="005F1094" w14:paraId="7BC0A648" w14:textId="77777777">
                      <w:pPr>
                        <w:rPr>
                          <w:sz w:val="20"/>
                          <w:szCs w:val="20"/>
                          <w:lang w:val="nb-NO"/>
                        </w:rPr>
                      </w:pPr>
                      <w:r w:rsidRPr="00DE40A3">
                        <w:rPr>
                          <w:sz w:val="20"/>
                          <w:szCs w:val="20"/>
                          <w:lang w:val="nb-NO"/>
                        </w:rPr>
                        <w:t>«</w:t>
                      </w:r>
                      <w:r w:rsidRPr="00DE40A3">
                        <w:rPr>
                          <w:i/>
                          <w:iCs/>
                          <w:sz w:val="20"/>
                          <w:szCs w:val="20"/>
                          <w:lang w:val="nb-NO"/>
                        </w:rPr>
                        <w:t>Områdene kan videreutvikles, bebygges og fortettes med fritidsbygg og reiselivsanlegg i henhold til vedtatte kommuneplaner og reguleringsplaner. Noe fast bosetting inngår også i denne sonen. Ved revidering av kommuneplaner og reguleringsplaner i denne sonen forutsettes det at arealer innenfor villreinens leveområder (jf. NVS rapport 7, 2010) opprettholdes som grønn struktur. Ved videre planlegging i slike områder skal kommunene følge opp de felles retningslinjene i §2. Fortetting og videre utvikling i etablerte områder bør prioriteres før det åpnes for utbygging i nye områder».</w:t>
                      </w:r>
                    </w:p>
                    <w:p w:rsidR="005F1094" w:rsidRPr="00DE40A3" w:rsidP="005F1094" w14:paraId="28B8016F" w14:textId="77777777">
                      <w:pPr>
                        <w:rPr>
                          <w:lang w:val="nb-NO"/>
                        </w:rPr>
                      </w:pPr>
                    </w:p>
                  </w:txbxContent>
                </v:textbox>
                <w10:wrap type="square"/>
              </v:shape>
            </w:pict>
          </mc:Fallback>
        </mc:AlternateContent>
      </w:r>
      <w:r w:rsidRPr="00DE40A3">
        <w:t>I retningsliner for Regional plan for Ha</w:t>
      </w:r>
      <w:r>
        <w:t>r</w:t>
      </w:r>
      <w:r w:rsidRPr="00DE40A3">
        <w:t>dangervidda 2019-2035 står det fylgjande om utbyggingssone § 3.5 (s. 33):</w:t>
      </w:r>
    </w:p>
    <w:p w:rsidR="005F1094" w:rsidP="005F1094" w14:paraId="670F55EB" w14:textId="335858CB"/>
    <w:p w:rsidR="005F1094" w:rsidP="005F1094" w14:paraId="5260052B" w14:textId="1DA51B8D">
      <w:r w:rsidRPr="00247435">
        <w:t>I Heiplanen er planområdet inna</w:t>
      </w:r>
      <w:r>
        <w:t>n</w:t>
      </w:r>
      <w:r w:rsidRPr="00247435">
        <w:t>for «</w:t>
      </w:r>
      <w:r w:rsidRPr="00247435">
        <w:rPr>
          <w:i/>
          <w:iCs/>
        </w:rPr>
        <w:t>Omsynssone bygdeutvikling</w:t>
      </w:r>
      <w:r w:rsidRPr="00247435">
        <w:t>». I samandraget på s. 5 står det at i omsynssone bygdeutvikling er omsynet til villreininteressene avklart. Vidare står det f</w:t>
      </w:r>
      <w:r>
        <w:t>y</w:t>
      </w:r>
      <w:r w:rsidRPr="00247435">
        <w:t xml:space="preserve">lgjande på s. 22 om retningsliner innan for denne omsynssona: </w:t>
      </w:r>
    </w:p>
    <w:p w:rsidR="005F1094" w:rsidP="005F1094" w14:paraId="48B31292" w14:textId="77777777"/>
    <w:p w:rsidR="005F1094" w:rsidP="005F1094" w14:paraId="18DC3D9D" w14:textId="77777777">
      <w:r>
        <w:drawing>
          <wp:inline distT="0" distB="0" distL="0" distR="0">
            <wp:extent cx="4680086" cy="1938463"/>
            <wp:effectExtent l="19050" t="19050" r="25400" b="24130"/>
            <wp:docPr id="1565668099" name="Bilde 1"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68099" name="Bilde 1" descr="Et bilde som inneholder tekst, skjermbilde, Font, nummer&#10;&#10;KI-generert innhold kan være feil."/>
                    <pic:cNvPicPr/>
                  </pic:nvPicPr>
                  <pic:blipFill>
                    <a:blip xmlns:r="http://schemas.openxmlformats.org/officeDocument/2006/relationships" r:embed="rId6"/>
                    <a:stretch>
                      <a:fillRect/>
                    </a:stretch>
                  </pic:blipFill>
                  <pic:spPr>
                    <a:xfrm>
                      <a:off x="0" y="0"/>
                      <a:ext cx="4683759" cy="1939984"/>
                    </a:xfrm>
                    <a:prstGeom prst="rect">
                      <a:avLst/>
                    </a:prstGeom>
                    <a:ln>
                      <a:solidFill>
                        <a:schemeClr val="tx1">
                          <a:lumMod val="50000"/>
                          <a:lumOff val="50000"/>
                        </a:schemeClr>
                      </a:solidFill>
                    </a:ln>
                  </pic:spPr>
                </pic:pic>
              </a:graphicData>
            </a:graphic>
          </wp:inline>
        </w:drawing>
      </w:r>
    </w:p>
    <w:p w:rsidR="005F1094" w:rsidRPr="004E754D" w:rsidP="005F1094" w14:paraId="543469F4" w14:textId="77777777">
      <w:pPr>
        <w:rPr>
          <w:u w:val="single"/>
        </w:rPr>
      </w:pPr>
    </w:p>
    <w:p w:rsidR="005F1094" w:rsidP="005F1094" w14:paraId="79D19F23" w14:textId="77777777">
      <w:r>
        <w:t xml:space="preserve">Til samanlikning vart naboplanen Arbuviki, planID 20200012, vedteke </w:t>
      </w:r>
      <w:r w:rsidRPr="00320263">
        <w:t>17.09.24, sak 118/24</w:t>
      </w:r>
      <w:r>
        <w:t xml:space="preserve">, sendt til ny uttale hjå villreinnemndene og statsforvaltaren </w:t>
      </w:r>
      <w:r w:rsidRPr="001246FA">
        <w:t xml:space="preserve">for uttale i høve villrein </w:t>
      </w:r>
      <w:r>
        <w:t>før 2. gongs handsaming</w:t>
      </w:r>
      <w:r w:rsidRPr="001246FA">
        <w:t xml:space="preserve">. Statsforvaltaren kom med uttale på at dei har inga vesentlege merknader til planområdet for Arbuviki ut frå omsynet til viktige funksjonsområde for villrein. Villreinnemnda for Setesdalområdet kom med uttale om at planområdet </w:t>
      </w:r>
      <w:r>
        <w:t>for</w:t>
      </w:r>
      <w:r w:rsidRPr="001246FA">
        <w:t xml:space="preserve"> Arbuviki ligg i bygdeutviklingssona i Heiplanen. Villreinens interesser reknast å vere avklart i denne sona ved at Heiplanens intensjonar og mål gjennomførast. Villreinnemnda meinar at eventuelle endringar av dette må politisk behandlast gjennom prosessar som rullering av regional plan og/eller kommuneplan. Villreinnemnda for Hardangerviddaområdet svara ikkje, sjølv med utsett frist.</w:t>
      </w:r>
    </w:p>
    <w:p w:rsidR="005F1094" w:rsidP="005F1094" w14:paraId="79D2F853" w14:textId="77777777"/>
    <w:p w:rsidR="005F1094" w:rsidP="005F1094" w14:paraId="2D8D76AC" w14:textId="77777777">
      <w:r>
        <w:t>Kommunedirektøren vil presisere at i tråd med rutiner skal framlegg til reguleringsplan sendast til høyring og offentleg ettersyn hjå V</w:t>
      </w:r>
      <w:r w:rsidRPr="001246FA">
        <w:t>illreinnemnda for Setesdalområdet</w:t>
      </w:r>
      <w:r>
        <w:t xml:space="preserve"> og </w:t>
      </w:r>
      <w:r w:rsidRPr="00247435">
        <w:t>Villrein</w:t>
      </w:r>
      <w:r>
        <w:t>nem</w:t>
      </w:r>
      <w:r w:rsidRPr="00247435">
        <w:t>da for Hardangerviddaområdet</w:t>
      </w:r>
      <w:r w:rsidRPr="001A08E2">
        <w:t>, samt Statsforvaltaren som skal sikre dei nasjonale interessene i høve villrein.</w:t>
      </w:r>
      <w:r>
        <w:t xml:space="preserve"> </w:t>
      </w:r>
    </w:p>
    <w:p w:rsidR="005F1094" w:rsidP="005F1094" w14:paraId="270E7B54" w14:textId="77777777"/>
    <w:p w:rsidR="005F1094" w:rsidP="005F1094" w14:paraId="719E0CFF" w14:textId="4A2C1C57">
      <w:r w:rsidRPr="004E754D">
        <w:t>Omsynet til villrein er slik kommunedirektøren ser det avklara i overordna KDP for Vågslid, samt klart avklara i dei to regionale villreinplanane. Utbygging i de</w:t>
      </w:r>
      <w:r w:rsidR="00BF1467">
        <w:t>ss</w:t>
      </w:r>
      <w:r w:rsidRPr="004E754D">
        <w:t>e son</w:t>
      </w:r>
      <w:r w:rsidR="00BF1467">
        <w:t>ene</w:t>
      </w:r>
      <w:r w:rsidRPr="004E754D">
        <w:t xml:space="preserve"> er i tråd med retni</w:t>
      </w:r>
      <w:r>
        <w:t>n</w:t>
      </w:r>
      <w:r w:rsidRPr="004E754D">
        <w:t xml:space="preserve">gslinene i dei to regionale villreinplanane, og kommunedirektøren vurderar det slik at omsynet til villrein er ivareteke.  </w:t>
      </w:r>
    </w:p>
    <w:p w:rsidR="005F1094" w:rsidRPr="001246FA" w:rsidP="005F1094" w14:paraId="5765776A" w14:textId="77777777"/>
    <w:p w:rsidR="00501F0B" w:rsidRPr="0049566A" w:rsidP="00501F0B" w14:paraId="50FA87F7" w14:textId="77777777">
      <w:pPr>
        <w:spacing w:line="250" w:lineRule="atLeast"/>
        <w:rPr>
          <w:rFonts w:eastAsia="Times New Roman" w:cs="Arial"/>
          <w:szCs w:val="24"/>
        </w:rPr>
      </w:pPr>
    </w:p>
    <w:p w:rsidR="00501F0B" w:rsidRPr="009F1BA0" w:rsidP="00501F0B" w14:paraId="363EF875" w14:textId="77777777">
      <w:bookmarkStart w:id="8" w:name="VEDLEGG"/>
      <w:bookmarkEnd w:id="8"/>
    </w:p>
    <w:p w:rsidR="00501F0B" w:rsidRPr="009F1BA0" w:rsidP="00501F0B" w14:paraId="28CE5F4C" w14:textId="77777777"/>
    <w:p w:rsidR="00501F0B" w:rsidRPr="009F1BA0" w:rsidP="00501F0B" w14:paraId="102AA255" w14:textId="77777777">
      <w:bookmarkStart w:id="9" w:name="KOPITILTABELL"/>
      <w:bookmarkEnd w:id="9"/>
    </w:p>
    <w:sectPr w:rsidSect="002D44B5">
      <w:headerReference w:type="default" r:id="rId7"/>
      <w:footerReference w:type="default" r:id="rId8"/>
      <w:headerReference w:type="first" r:id="rId9"/>
      <w:footerReference w:type="first" r:id="rId10"/>
      <w:pgSz w:w="11906" w:h="16838" w:code="9"/>
      <w:pgMar w:top="1588" w:right="1287" w:bottom="1588" w:left="1276" w:header="851"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page" w:tblpY="15480"/>
      <w:tblW w:w="9498" w:type="dxa"/>
      <w:tblLayout w:type="fixed"/>
      <w:tblCellMar>
        <w:left w:w="0" w:type="dxa"/>
        <w:right w:w="0" w:type="dxa"/>
      </w:tblCellMar>
      <w:tblLook w:val="04A0"/>
    </w:tblPr>
    <w:tblGrid>
      <w:gridCol w:w="2352"/>
      <w:gridCol w:w="2114"/>
      <w:gridCol w:w="1903"/>
      <w:gridCol w:w="3129"/>
    </w:tblGrid>
    <w:tr w14:paraId="3C50E062" w14:textId="77777777" w:rsidTr="008906F8">
      <w:tblPrEx>
        <w:tblW w:w="9498" w:type="dxa"/>
        <w:tblLayout w:type="fixed"/>
        <w:tblCellMar>
          <w:left w:w="0" w:type="dxa"/>
          <w:right w:w="0" w:type="dxa"/>
        </w:tblCellMar>
        <w:tblLook w:val="04A0"/>
      </w:tblPrEx>
      <w:tc>
        <w:tcPr>
          <w:tcW w:w="2352" w:type="dxa"/>
        </w:tcPr>
        <w:p w:rsidR="00514FC9" w:rsidRPr="00127DD4" w:rsidP="00157031" w14:paraId="00794A87" w14:textId="77777777">
          <w:pPr>
            <w:tabs>
              <w:tab w:val="center" w:pos="4536"/>
              <w:tab w:val="right" w:pos="9072"/>
            </w:tabs>
            <w:spacing w:before="60"/>
            <w:rPr>
              <w:rFonts w:eastAsia="Times New Roman" w:cs="Arial"/>
              <w:sz w:val="16"/>
              <w:szCs w:val="24"/>
              <w:lang w:eastAsia="nb-NO"/>
            </w:rPr>
          </w:pPr>
        </w:p>
      </w:tc>
      <w:tc>
        <w:tcPr>
          <w:tcW w:w="2114" w:type="dxa"/>
        </w:tcPr>
        <w:p w:rsidR="00514FC9" w:rsidRPr="00127DD4" w:rsidP="00157031" w14:paraId="482CCFC5" w14:textId="77777777">
          <w:pPr>
            <w:tabs>
              <w:tab w:val="center" w:pos="4536"/>
              <w:tab w:val="right" w:pos="9072"/>
            </w:tabs>
            <w:spacing w:before="60"/>
            <w:rPr>
              <w:rFonts w:eastAsia="Times New Roman" w:cs="Arial"/>
              <w:sz w:val="16"/>
              <w:szCs w:val="24"/>
              <w:lang w:eastAsia="nb-NO"/>
            </w:rPr>
          </w:pPr>
        </w:p>
      </w:tc>
      <w:tc>
        <w:tcPr>
          <w:tcW w:w="1903" w:type="dxa"/>
        </w:tcPr>
        <w:p w:rsidR="00514FC9" w:rsidRPr="00127DD4" w:rsidP="00157031" w14:paraId="7A2B9148" w14:textId="77777777">
          <w:pPr>
            <w:tabs>
              <w:tab w:val="center" w:pos="4536"/>
              <w:tab w:val="right" w:pos="9072"/>
            </w:tabs>
            <w:spacing w:before="60"/>
            <w:rPr>
              <w:rFonts w:eastAsia="Times New Roman" w:cs="Arial"/>
              <w:sz w:val="16"/>
              <w:szCs w:val="24"/>
              <w:lang w:eastAsia="nb-NO"/>
            </w:rPr>
          </w:pPr>
        </w:p>
      </w:tc>
      <w:tc>
        <w:tcPr>
          <w:tcW w:w="3129" w:type="dxa"/>
        </w:tcPr>
        <w:p w:rsidR="00514FC9" w:rsidRPr="00127DD4" w:rsidP="00157031" w14:paraId="74715EDB" w14:textId="77777777">
          <w:pPr>
            <w:tabs>
              <w:tab w:val="center" w:pos="4536"/>
              <w:tab w:val="right" w:pos="9072"/>
            </w:tabs>
            <w:spacing w:before="60"/>
            <w:rPr>
              <w:rFonts w:eastAsia="Times New Roman" w:cs="Arial"/>
              <w:sz w:val="16"/>
              <w:szCs w:val="24"/>
              <w:lang w:eastAsia="nb-NO"/>
            </w:rPr>
          </w:pPr>
        </w:p>
      </w:tc>
    </w:tr>
  </w:tbl>
  <w:p w:rsidR="00022151" w14:paraId="05BCED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276A" w:rsidRPr="00851622" w:rsidP="00D2276A" w14:paraId="3A50C4CB" w14:textId="77777777">
    <w:pPr>
      <w:pStyle w:val="Footer"/>
      <w:rPr>
        <w:lang w:val="en-US"/>
      </w:rPr>
    </w:pPr>
  </w:p>
  <w:p w:rsidR="00D2276A" w:rsidRPr="00572756" w:rsidP="00D2276A" w14:paraId="479A83A0" w14:textId="77777777">
    <w:pPr>
      <w:pStyle w:val="Footer"/>
      <w:ind w:left="-1276"/>
      <w:rPr>
        <w:lang w:val="en-US"/>
      </w:rPr>
    </w:pPr>
  </w:p>
  <w:p w:rsidR="00127DD4" w:rsidRPr="00572756" w:rsidP="00501F0B" w14:paraId="0DB86FD6" w14:textId="77777777">
    <w:pPr>
      <w:pStyle w:val="Footer"/>
      <w:ind w:left="-1276"/>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23" w:rsidP="00CB7509" w14:paraId="7D7F9E88" w14:textId="77777777">
    <w:pPr>
      <w:pStyle w:val="Header"/>
      <w:jc w:val="right"/>
      <w:rPr>
        <w:lang w:val="nb-NO"/>
      </w:rPr>
    </w:pPr>
    <w:r>
      <w:rPr>
        <w:lang w:val="nb-NO"/>
      </w:rPr>
      <w:t>Vinje kommune</w:t>
    </w:r>
  </w:p>
  <w:p w:rsidR="00022151" w:rsidRPr="00CB7509" w:rsidP="00CB7509" w14:paraId="23F1CB6F" w14:textId="77777777">
    <w:pPr>
      <w:pStyle w:val="Header"/>
      <w:jc w:val="right"/>
      <w:rPr>
        <w:lang w:val="nb-NO"/>
      </w:rPr>
    </w:pPr>
    <w:r>
      <w:rPr>
        <w:lang w:val="nb-NO"/>
      </w:rPr>
      <w:t xml:space="preserve">Side </w:t>
    </w:r>
    <w:r>
      <w:rPr>
        <w:lang w:val="nb-NO"/>
      </w:rPr>
      <w:fldChar w:fldCharType="begin"/>
    </w:r>
    <w:r>
      <w:rPr>
        <w:lang w:val="nb-NO"/>
      </w:rPr>
      <w:instrText xml:space="preserve"> PAGE   \* MERGEFORMAT </w:instrText>
    </w:r>
    <w:r>
      <w:rPr>
        <w:lang w:val="nb-NO"/>
      </w:rPr>
      <w:fldChar w:fldCharType="separate"/>
    </w:r>
    <w:r w:rsidR="00BE0AC4">
      <w:rPr>
        <w:lang w:val="nb-NO"/>
      </w:rPr>
      <w:t>2</w:t>
    </w:r>
    <w:r>
      <w:rPr>
        <w:lang w:val="nb-NO"/>
      </w:rPr>
      <w:fldChar w:fldCharType="end"/>
    </w:r>
    <w:r>
      <w:rPr>
        <w:lang w:val="nb-NO"/>
      </w:rPr>
      <w:t>/</w:t>
    </w:r>
    <w:r w:rsidRPr="0078390D" w:rsidR="0078390D">
      <w:fldChar w:fldCharType="begin"/>
    </w:r>
    <w:r>
      <w:instrText xml:space="preserve"> NUMPAGES   \* MERGEFORMAT </w:instrText>
    </w:r>
    <w:r w:rsidRPr="0078390D" w:rsidR="0078390D">
      <w:fldChar w:fldCharType="separate"/>
    </w:r>
    <w:r w:rsidRPr="0078390D" w:rsidR="0078390D">
      <w:rPr>
        <w:lang w:val="nb-NO"/>
      </w:rPr>
      <w:t>1</w:t>
    </w:r>
    <w:r w:rsidRPr="0078390D" w:rsidR="0078390D">
      <w:rPr>
        <w:lang w:val="nb-N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800" w:type="dxa"/>
      <w:tblInd w:w="-284" w:type="dxa"/>
      <w:tblLook w:val="00A0"/>
    </w:tblPr>
    <w:tblGrid>
      <w:gridCol w:w="1277"/>
      <w:gridCol w:w="4481"/>
      <w:gridCol w:w="4042"/>
    </w:tblGrid>
    <w:tr w14:paraId="3C74BD02" w14:textId="77777777" w:rsidTr="000E543F">
      <w:tblPrEx>
        <w:tblW w:w="9800" w:type="dxa"/>
        <w:tblInd w:w="-284" w:type="dxa"/>
        <w:tblLook w:val="00A0"/>
      </w:tblPrEx>
      <w:trPr>
        <w:trHeight w:hRule="exact" w:val="1428"/>
      </w:trPr>
      <w:tc>
        <w:tcPr>
          <w:tcW w:w="1277" w:type="dxa"/>
        </w:tcPr>
        <w:p w:rsidR="00A56DA7" w:rsidRPr="00127DD4" w:rsidP="00A56DA7" w14:paraId="0850150A" w14:textId="77777777">
          <w:pPr>
            <w:spacing w:before="120" w:after="160" w:line="259" w:lineRule="auto"/>
            <w:rPr>
              <w:rFonts w:eastAsia="Times New Roman" w:cs="Arial"/>
              <w:lang w:val="nb-NO"/>
            </w:rPr>
          </w:pPr>
        </w:p>
      </w:tc>
      <w:tc>
        <w:tcPr>
          <w:tcW w:w="4481" w:type="dxa"/>
        </w:tcPr>
        <w:p w:rsidR="00A56DA7" w:rsidRPr="00127DD4" w:rsidP="00A56DA7" w14:paraId="0343DEFA" w14:textId="77777777">
          <w:pPr>
            <w:spacing w:before="120"/>
            <w:rPr>
              <w:rFonts w:eastAsia="Times New Roman" w:cs="Arial"/>
              <w:sz w:val="28"/>
              <w:szCs w:val="28"/>
              <w:lang w:eastAsia="nb-NO"/>
            </w:rPr>
          </w:pPr>
        </w:p>
      </w:tc>
      <w:tc>
        <w:tcPr>
          <w:tcW w:w="4042" w:type="dxa"/>
        </w:tcPr>
        <w:p w:rsidR="00A56DA7" w:rsidRPr="00127DD4" w:rsidP="00A56DA7" w14:paraId="5DCDD517" w14:textId="77777777">
          <w:pPr>
            <w:rPr>
              <w:rFonts w:eastAsia="Times New Roman" w:cs="Arial"/>
              <w:lang w:eastAsia="nb-NO"/>
            </w:rPr>
          </w:pPr>
          <w:r w:rsidRPr="009F1BA0">
            <w:drawing>
              <wp:inline distT="0" distB="0" distL="0" distR="0">
                <wp:extent cx="1940400" cy="752400"/>
                <wp:effectExtent l="0" t="0" r="3175" b="0"/>
                <wp:docPr id="1969957704" name="Bilde 1969957704" descr="Logo for Vinje kom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57704" name="Bilde 1" descr="Logo for Vinje kommune"/>
                        <pic:cNvPicPr/>
                      </pic:nvPicPr>
                      <pic:blipFill>
                        <a:blip xmlns:r="http://schemas.openxmlformats.org/officeDocument/2006/relationships" r:embed="rId1"/>
                        <a:stretch>
                          <a:fillRect/>
                        </a:stretch>
                      </pic:blipFill>
                      <pic:spPr>
                        <a:xfrm>
                          <a:off x="0" y="0"/>
                          <a:ext cx="1940400" cy="752400"/>
                        </a:xfrm>
                        <a:prstGeom prst="rect">
                          <a:avLst/>
                        </a:prstGeom>
                      </pic:spPr>
                    </pic:pic>
                  </a:graphicData>
                </a:graphic>
              </wp:inline>
            </w:drawing>
          </w:r>
        </w:p>
      </w:tc>
    </w:tr>
  </w:tbl>
  <w:p w:rsidR="00022151" w:rsidRPr="00127DD4" w:rsidP="00632561" w14:paraId="6583C4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926868270" o:spid="_x0000_i1025" type="#_x0000_t75" alt="Saksbehandlers telefon" style="width:7.5pt;height:10.5pt" o:bullet="t">
            <v:imagedata r:id="rId1" o:title="Saksbehandlers telefon" cropright="-53703f"/>
          </v:shape>
        </w:pict>
      </mc:Choice>
      <mc:Fallback>
        <w:drawing>
          <wp:inline distT="0" distB="0" distL="0" distR="0">
            <wp:extent cx="95250" cy="133350"/>
            <wp:effectExtent l="0" t="0" r="0" b="0"/>
            <wp:docPr id="926868270" name="Bilde 926868270" descr="Saksbehandlers tele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Saksbehandlers telefon"/>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r="-81944"/>
                    <a:stretch>
                      <a:fillRect/>
                    </a:stretch>
                  </pic:blipFill>
                  <pic:spPr bwMode="auto">
                    <a:xfrm>
                      <a:off x="0" y="0"/>
                      <a:ext cx="95250" cy="133350"/>
                    </a:xfrm>
                    <a:prstGeom prst="rect">
                      <a:avLst/>
                    </a:prstGeom>
                    <a:noFill/>
                    <a:ln>
                      <a:noFill/>
                    </a:ln>
                  </pic:spPr>
                </pic:pic>
              </a:graphicData>
            </a:graphic>
          </wp:inline>
        </w:drawing>
      </mc:Fallback>
    </mc:AlternateContent>
  </w:numPicBullet>
  <w:abstractNum w:abstractNumId="0">
    <w:nsid w:val="2CE15D77"/>
    <w:multiLevelType w:val="singleLevel"/>
    <w:tmpl w:val="E760FA8C"/>
    <w:lvl w:ilvl="0">
      <w:start w:val="3"/>
      <w:numFmt w:val="bullet"/>
      <w:lvlText w:val="-"/>
      <w:lvlJc w:val="left"/>
      <w:pPr>
        <w:tabs>
          <w:tab w:val="num" w:pos="405"/>
        </w:tabs>
        <w:ind w:left="405" w:hanging="360"/>
      </w:pPr>
    </w:lvl>
  </w:abstractNum>
  <w:num w:numId="1" w16cid:durableId="1291933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38"/>
    <w:rsid w:val="0001122B"/>
    <w:rsid w:val="0001408F"/>
    <w:rsid w:val="00022151"/>
    <w:rsid w:val="00023761"/>
    <w:rsid w:val="00026672"/>
    <w:rsid w:val="00031D85"/>
    <w:rsid w:val="00045DD1"/>
    <w:rsid w:val="00072110"/>
    <w:rsid w:val="000B1EB7"/>
    <w:rsid w:val="000E4B19"/>
    <w:rsid w:val="001071F3"/>
    <w:rsid w:val="00120F36"/>
    <w:rsid w:val="001246FA"/>
    <w:rsid w:val="00127DD4"/>
    <w:rsid w:val="001507A2"/>
    <w:rsid w:val="00157031"/>
    <w:rsid w:val="00160C36"/>
    <w:rsid w:val="001734A9"/>
    <w:rsid w:val="001A08E2"/>
    <w:rsid w:val="001B214F"/>
    <w:rsid w:val="001B7AD8"/>
    <w:rsid w:val="001E3946"/>
    <w:rsid w:val="00214692"/>
    <w:rsid w:val="002233B7"/>
    <w:rsid w:val="002401EB"/>
    <w:rsid w:val="00247435"/>
    <w:rsid w:val="00262ECC"/>
    <w:rsid w:val="00276470"/>
    <w:rsid w:val="002A28FA"/>
    <w:rsid w:val="002A734A"/>
    <w:rsid w:val="002C5745"/>
    <w:rsid w:val="002D44B5"/>
    <w:rsid w:val="002E3C46"/>
    <w:rsid w:val="00307CE5"/>
    <w:rsid w:val="00312E72"/>
    <w:rsid w:val="0031375C"/>
    <w:rsid w:val="00320263"/>
    <w:rsid w:val="003329F7"/>
    <w:rsid w:val="00370262"/>
    <w:rsid w:val="003838F5"/>
    <w:rsid w:val="0039341B"/>
    <w:rsid w:val="00397C92"/>
    <w:rsid w:val="003B4EB6"/>
    <w:rsid w:val="003D5BDD"/>
    <w:rsid w:val="003E0D22"/>
    <w:rsid w:val="003F693E"/>
    <w:rsid w:val="00412AAA"/>
    <w:rsid w:val="00433B51"/>
    <w:rsid w:val="00445239"/>
    <w:rsid w:val="0045347C"/>
    <w:rsid w:val="004729B8"/>
    <w:rsid w:val="00484E9E"/>
    <w:rsid w:val="00487F9C"/>
    <w:rsid w:val="0049566A"/>
    <w:rsid w:val="004B19F9"/>
    <w:rsid w:val="004E754D"/>
    <w:rsid w:val="00501F0B"/>
    <w:rsid w:val="00504326"/>
    <w:rsid w:val="00514FC9"/>
    <w:rsid w:val="0052756C"/>
    <w:rsid w:val="0054089F"/>
    <w:rsid w:val="0054133C"/>
    <w:rsid w:val="0055461C"/>
    <w:rsid w:val="00565A9B"/>
    <w:rsid w:val="0056680D"/>
    <w:rsid w:val="00572756"/>
    <w:rsid w:val="00590C07"/>
    <w:rsid w:val="005B4B40"/>
    <w:rsid w:val="005D33F5"/>
    <w:rsid w:val="005F1094"/>
    <w:rsid w:val="00602D7E"/>
    <w:rsid w:val="00607351"/>
    <w:rsid w:val="00614A1B"/>
    <w:rsid w:val="006228B3"/>
    <w:rsid w:val="00625907"/>
    <w:rsid w:val="00632561"/>
    <w:rsid w:val="0065418A"/>
    <w:rsid w:val="0065632B"/>
    <w:rsid w:val="00666899"/>
    <w:rsid w:val="0067106F"/>
    <w:rsid w:val="00692229"/>
    <w:rsid w:val="006A0665"/>
    <w:rsid w:val="006A2B0A"/>
    <w:rsid w:val="006B0B2E"/>
    <w:rsid w:val="006B1518"/>
    <w:rsid w:val="006D7498"/>
    <w:rsid w:val="006E0433"/>
    <w:rsid w:val="006F5F3D"/>
    <w:rsid w:val="00744E02"/>
    <w:rsid w:val="00767BDD"/>
    <w:rsid w:val="007715CE"/>
    <w:rsid w:val="0078390D"/>
    <w:rsid w:val="00785D4F"/>
    <w:rsid w:val="007867F9"/>
    <w:rsid w:val="007F250E"/>
    <w:rsid w:val="00851622"/>
    <w:rsid w:val="00853AFD"/>
    <w:rsid w:val="0087250A"/>
    <w:rsid w:val="008A4503"/>
    <w:rsid w:val="008B4838"/>
    <w:rsid w:val="008D204F"/>
    <w:rsid w:val="008F01A2"/>
    <w:rsid w:val="008F343A"/>
    <w:rsid w:val="009038C3"/>
    <w:rsid w:val="009259EA"/>
    <w:rsid w:val="0093143B"/>
    <w:rsid w:val="0094061A"/>
    <w:rsid w:val="009857E2"/>
    <w:rsid w:val="0099048C"/>
    <w:rsid w:val="009C4944"/>
    <w:rsid w:val="009C5327"/>
    <w:rsid w:val="009F1BA0"/>
    <w:rsid w:val="00A00D52"/>
    <w:rsid w:val="00A16C77"/>
    <w:rsid w:val="00A400BF"/>
    <w:rsid w:val="00A56DA7"/>
    <w:rsid w:val="00A56FD7"/>
    <w:rsid w:val="00A737C6"/>
    <w:rsid w:val="00A8621B"/>
    <w:rsid w:val="00AB08B5"/>
    <w:rsid w:val="00AD487A"/>
    <w:rsid w:val="00AD5635"/>
    <w:rsid w:val="00B03DBA"/>
    <w:rsid w:val="00B07192"/>
    <w:rsid w:val="00B7638C"/>
    <w:rsid w:val="00B80B5D"/>
    <w:rsid w:val="00B9479A"/>
    <w:rsid w:val="00BD002C"/>
    <w:rsid w:val="00BE0AC4"/>
    <w:rsid w:val="00BE1520"/>
    <w:rsid w:val="00BE248A"/>
    <w:rsid w:val="00BF1467"/>
    <w:rsid w:val="00BF6698"/>
    <w:rsid w:val="00C04684"/>
    <w:rsid w:val="00C325AA"/>
    <w:rsid w:val="00C37BC6"/>
    <w:rsid w:val="00C51CC2"/>
    <w:rsid w:val="00C837DF"/>
    <w:rsid w:val="00CA5F38"/>
    <w:rsid w:val="00CB41E1"/>
    <w:rsid w:val="00CB513B"/>
    <w:rsid w:val="00CB7509"/>
    <w:rsid w:val="00CC2242"/>
    <w:rsid w:val="00CE286B"/>
    <w:rsid w:val="00CF5FCD"/>
    <w:rsid w:val="00D2276A"/>
    <w:rsid w:val="00D4208C"/>
    <w:rsid w:val="00D5002C"/>
    <w:rsid w:val="00D91DB4"/>
    <w:rsid w:val="00DA3012"/>
    <w:rsid w:val="00DB422B"/>
    <w:rsid w:val="00DB4936"/>
    <w:rsid w:val="00DC0D61"/>
    <w:rsid w:val="00DC2883"/>
    <w:rsid w:val="00DC37D1"/>
    <w:rsid w:val="00DE40A3"/>
    <w:rsid w:val="00DF1A73"/>
    <w:rsid w:val="00DF2152"/>
    <w:rsid w:val="00E140E7"/>
    <w:rsid w:val="00E22E37"/>
    <w:rsid w:val="00E278C1"/>
    <w:rsid w:val="00E565FF"/>
    <w:rsid w:val="00E61AC8"/>
    <w:rsid w:val="00E64673"/>
    <w:rsid w:val="00E65499"/>
    <w:rsid w:val="00E71F08"/>
    <w:rsid w:val="00E83D5C"/>
    <w:rsid w:val="00E85BF3"/>
    <w:rsid w:val="00E96FA2"/>
    <w:rsid w:val="00EB4BA9"/>
    <w:rsid w:val="00EB4D23"/>
    <w:rsid w:val="00F02EB5"/>
    <w:rsid w:val="00F128A3"/>
    <w:rsid w:val="00F128BD"/>
    <w:rsid w:val="00F17BA6"/>
    <w:rsid w:val="00F30734"/>
    <w:rsid w:val="00F30742"/>
    <w:rsid w:val="00F43E6A"/>
    <w:rsid w:val="00F45A34"/>
    <w:rsid w:val="00F46FFF"/>
    <w:rsid w:val="00F51A34"/>
    <w:rsid w:val="00F670C4"/>
    <w:rsid w:val="00FA3711"/>
    <w:rsid w:val="00FB68EF"/>
    <w:rsid w:val="00FD7523"/>
  </w:rsids>
  <m:mathPr>
    <m:mathFont m:val="Cambria Math"/>
  </m:mathPr>
  <w:themeFontLang w:val="nn-NO"/>
  <w:clrSchemeMapping w:bg1="light1" w:t1="dark1" w:bg2="light2" w:t2="dark2" w:accent1="accent1" w:accent2="accent2" w:accent3="accent3" w:accent4="accent4" w:accent5="accent5" w:accent6="accent6" w:hyperlink="hyperlink" w:followedHyperlink="followedHyperlink"/>
  <w14:docId w14:val="06EE94D1"/>
  <w15:docId w15:val="{94767BA4-57E7-4915-9669-0A374219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936"/>
    <w:pPr>
      <w:spacing w:after="0" w:line="240" w:lineRule="auto"/>
    </w:pPr>
    <w:rPr>
      <w:rFonts w:ascii="Calibri" w:hAnsi="Calibri"/>
      <w:noProof/>
      <w:sz w:val="24"/>
      <w14:ligatures w14:val="standardContextual"/>
    </w:rPr>
  </w:style>
  <w:style w:type="paragraph" w:styleId="Heading1">
    <w:name w:val="heading 1"/>
    <w:basedOn w:val="Normal"/>
    <w:next w:val="Normal"/>
    <w:link w:val="Overskrift1Tegn"/>
    <w:qFormat/>
    <w:rsid w:val="00BE1520"/>
    <w:pPr>
      <w:keepNext/>
      <w:spacing w:before="240" w:after="240"/>
      <w:outlineLvl w:val="0"/>
    </w:pPr>
    <w:rPr>
      <w:rFonts w:eastAsia="Times New Roman" w:cs="Arial"/>
      <w:b/>
      <w:bCs/>
      <w:kern w:val="32"/>
      <w:sz w:val="32"/>
      <w:szCs w:val="28"/>
      <w:lang w:eastAsia="nb-NO"/>
    </w:rPr>
  </w:style>
  <w:style w:type="paragraph" w:styleId="Heading2">
    <w:name w:val="heading 2"/>
    <w:basedOn w:val="Normal"/>
    <w:next w:val="Normal"/>
    <w:link w:val="Overskrift2Tegn"/>
    <w:uiPriority w:val="9"/>
    <w:semiHidden/>
    <w:unhideWhenUsed/>
    <w:qFormat/>
    <w:rsid w:val="0049566A"/>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rsid w:val="006F5F3D"/>
    <w:pPr>
      <w:tabs>
        <w:tab w:val="center" w:pos="4536"/>
        <w:tab w:val="right" w:pos="9072"/>
      </w:tabs>
    </w:pPr>
    <w:rPr>
      <w:rFonts w:eastAsia="Times New Roman" w:cs="Times New Roman"/>
      <w:sz w:val="20"/>
    </w:rPr>
  </w:style>
  <w:style w:type="character" w:customStyle="1" w:styleId="TopptekstTegn">
    <w:name w:val="Topptekst Tegn"/>
    <w:basedOn w:val="DefaultParagraphFont"/>
    <w:link w:val="Header"/>
    <w:uiPriority w:val="99"/>
    <w:rsid w:val="006F5F3D"/>
    <w:rPr>
      <w:rFonts w:ascii="Arial" w:eastAsia="Times New Roman" w:hAnsi="Arial" w:cs="Times New Roman"/>
      <w:sz w:val="20"/>
    </w:rPr>
  </w:style>
  <w:style w:type="paragraph" w:styleId="Footer">
    <w:name w:val="footer"/>
    <w:basedOn w:val="Normal"/>
    <w:link w:val="BunntekstTegn"/>
    <w:uiPriority w:val="99"/>
    <w:rsid w:val="006F5F3D"/>
    <w:pPr>
      <w:tabs>
        <w:tab w:val="center" w:pos="4536"/>
        <w:tab w:val="right" w:pos="9072"/>
      </w:tabs>
      <w:spacing w:line="264" w:lineRule="auto"/>
    </w:pPr>
    <w:rPr>
      <w:rFonts w:eastAsia="Times New Roman" w:cs="Times New Roman"/>
      <w:sz w:val="14"/>
    </w:rPr>
  </w:style>
  <w:style w:type="character" w:customStyle="1" w:styleId="BunntekstTegn">
    <w:name w:val="Bunntekst Tegn"/>
    <w:basedOn w:val="DefaultParagraphFont"/>
    <w:link w:val="Footer"/>
    <w:uiPriority w:val="99"/>
    <w:rsid w:val="006F5F3D"/>
    <w:rPr>
      <w:rFonts w:ascii="Arial" w:eastAsia="Times New Roman" w:hAnsi="Arial" w:cs="Times New Roman"/>
      <w:sz w:val="14"/>
    </w:rPr>
  </w:style>
  <w:style w:type="paragraph" w:customStyle="1" w:styleId="Informasjonstekstdato">
    <w:name w:val="Informasjonstekst/dato"/>
    <w:uiPriority w:val="99"/>
    <w:rsid w:val="006F5F3D"/>
    <w:pPr>
      <w:overflowPunct w:val="0"/>
      <w:autoSpaceDE w:val="0"/>
      <w:autoSpaceDN w:val="0"/>
      <w:adjustRightInd w:val="0"/>
      <w:spacing w:after="0" w:line="200" w:lineRule="exact"/>
      <w:jc w:val="right"/>
      <w:textAlignment w:val="baseline"/>
    </w:pPr>
    <w:rPr>
      <w:rFonts w:ascii="Arial" w:eastAsia="Times New Roman" w:hAnsi="Arial" w:cs="Times New Roman"/>
      <w:noProof/>
      <w:sz w:val="16"/>
      <w:szCs w:val="20"/>
      <w:lang w:val="nb-NO" w:eastAsia="nb-NO"/>
    </w:rPr>
  </w:style>
  <w:style w:type="paragraph" w:styleId="BalloonText">
    <w:name w:val="Balloon Text"/>
    <w:basedOn w:val="Normal"/>
    <w:link w:val="BobletekstTegn"/>
    <w:uiPriority w:val="99"/>
    <w:semiHidden/>
    <w:unhideWhenUsed/>
    <w:rsid w:val="006F5F3D"/>
    <w:rPr>
      <w:rFonts w:ascii="Tahoma" w:hAnsi="Tahoma" w:cs="Tahoma"/>
      <w:sz w:val="16"/>
      <w:szCs w:val="16"/>
    </w:rPr>
  </w:style>
  <w:style w:type="character" w:customStyle="1" w:styleId="BobletekstTegn">
    <w:name w:val="Bobletekst Tegn"/>
    <w:basedOn w:val="DefaultParagraphFont"/>
    <w:link w:val="BalloonText"/>
    <w:uiPriority w:val="99"/>
    <w:semiHidden/>
    <w:rsid w:val="006F5F3D"/>
    <w:rPr>
      <w:rFonts w:ascii="Tahoma" w:hAnsi="Tahoma" w:cs="Tahoma"/>
      <w:sz w:val="16"/>
      <w:szCs w:val="16"/>
    </w:rPr>
  </w:style>
  <w:style w:type="paragraph" w:customStyle="1" w:styleId="L7-arial16F">
    <w:name w:val="L7-arial 16F"/>
    <w:basedOn w:val="Normal"/>
    <w:rsid w:val="00127DD4"/>
    <w:pPr>
      <w:spacing w:before="120"/>
    </w:pPr>
    <w:rPr>
      <w:rFonts w:eastAsia="Times New Roman" w:cs="Arial"/>
      <w:b/>
      <w:sz w:val="32"/>
      <w:szCs w:val="32"/>
      <w:lang w:eastAsia="nb-NO"/>
    </w:rPr>
  </w:style>
  <w:style w:type="paragraph" w:customStyle="1" w:styleId="L7-arial11">
    <w:name w:val="L7-arial 11"/>
    <w:basedOn w:val="Normal"/>
    <w:rsid w:val="00127DD4"/>
    <w:rPr>
      <w:rFonts w:eastAsia="Times New Roman" w:cs="Arial"/>
      <w:lang w:eastAsia="nb-NO"/>
    </w:rPr>
  </w:style>
  <w:style w:type="paragraph" w:customStyle="1" w:styleId="L7-arial8F">
    <w:name w:val="L7-arial 8F"/>
    <w:basedOn w:val="Footer"/>
    <w:rsid w:val="00127DD4"/>
    <w:pPr>
      <w:spacing w:before="60" w:line="240" w:lineRule="auto"/>
    </w:pPr>
    <w:rPr>
      <w:rFonts w:cs="Arial"/>
      <w:sz w:val="16"/>
      <w:szCs w:val="24"/>
      <w:lang w:eastAsia="nb-NO"/>
    </w:rPr>
  </w:style>
  <w:style w:type="character" w:customStyle="1" w:styleId="Overskrift1Tegn">
    <w:name w:val="Overskrift 1 Tegn"/>
    <w:basedOn w:val="DefaultParagraphFont"/>
    <w:link w:val="Heading1"/>
    <w:rsid w:val="00BE1520"/>
    <w:rPr>
      <w:rFonts w:ascii="Arial" w:eastAsia="Times New Roman" w:hAnsi="Arial" w:cs="Arial"/>
      <w:b/>
      <w:bCs/>
      <w:noProof/>
      <w:kern w:val="32"/>
      <w:sz w:val="32"/>
      <w:szCs w:val="28"/>
      <w:lang w:eastAsia="nb-NO"/>
      <w14:ligatures w14:val="standardContextual"/>
    </w:rPr>
  </w:style>
  <w:style w:type="paragraph" w:styleId="BodyText">
    <w:name w:val="Body Text"/>
    <w:basedOn w:val="Normal"/>
    <w:link w:val="BrdtekstTegn"/>
    <w:rsid w:val="0031375C"/>
    <w:rPr>
      <w:rFonts w:eastAsia="Times New Roman" w:cs="Times New Roman"/>
      <w:i/>
      <w:sz w:val="20"/>
      <w:szCs w:val="20"/>
      <w:lang w:eastAsia="nb-NO"/>
    </w:rPr>
  </w:style>
  <w:style w:type="character" w:customStyle="1" w:styleId="BrdtekstTegn">
    <w:name w:val="Brødtekst Tegn"/>
    <w:basedOn w:val="DefaultParagraphFont"/>
    <w:link w:val="BodyText"/>
    <w:rsid w:val="0031375C"/>
    <w:rPr>
      <w:rFonts w:ascii="Arial" w:eastAsia="Times New Roman" w:hAnsi="Arial" w:cs="Times New Roman"/>
      <w:i/>
      <w:sz w:val="20"/>
      <w:szCs w:val="20"/>
      <w:lang w:eastAsia="nb-NO"/>
    </w:rPr>
  </w:style>
  <w:style w:type="paragraph" w:customStyle="1" w:styleId="journalpost">
    <w:name w:val="journalpost"/>
    <w:basedOn w:val="Heading1"/>
    <w:qFormat/>
    <w:rsid w:val="00AD5635"/>
    <w:rPr>
      <w:sz w:val="22"/>
    </w:rPr>
  </w:style>
  <w:style w:type="paragraph" w:customStyle="1" w:styleId="Metadata">
    <w:name w:val="Metadata"/>
    <w:basedOn w:val="Normal"/>
    <w:next w:val="Normal"/>
    <w:link w:val="MetadataTegn"/>
    <w:autoRedefine/>
    <w:qFormat/>
    <w:rsid w:val="002E3C46"/>
    <w:pPr>
      <w:outlineLvl w:val="2"/>
    </w:pPr>
    <w:rPr>
      <w:rFonts w:cs="Arial"/>
      <w:noProof w:val="0"/>
      <w14:ligatures w14:val="none"/>
    </w:rPr>
  </w:style>
  <w:style w:type="character" w:customStyle="1" w:styleId="MetadataTegn">
    <w:name w:val="Metadata Tegn"/>
    <w:basedOn w:val="DefaultParagraphFont"/>
    <w:link w:val="Metadata"/>
    <w:rsid w:val="002E3C46"/>
    <w:rPr>
      <w:rFonts w:ascii="Arial" w:hAnsi="Arial" w:cs="Arial"/>
      <w:color w:val="0073B3"/>
      <w:sz w:val="18"/>
    </w:rPr>
  </w:style>
  <w:style w:type="character" w:styleId="Hyperlink">
    <w:name w:val="Hyperlink"/>
    <w:basedOn w:val="DefaultParagraphFont"/>
    <w:uiPriority w:val="99"/>
    <w:unhideWhenUsed/>
    <w:rsid w:val="00262ECC"/>
    <w:rPr>
      <w:color w:val="0000FF" w:themeColor="hyperlink"/>
      <w:u w:val="single"/>
    </w:rPr>
  </w:style>
  <w:style w:type="table" w:styleId="TableGrid">
    <w:name w:val="Table Grid"/>
    <w:basedOn w:val="TableNormal"/>
    <w:uiPriority w:val="39"/>
    <w:rsid w:val="00F30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67F9"/>
    <w:rPr>
      <w:color w:val="800080" w:themeColor="followedHyperlink"/>
      <w:u w:val="single"/>
    </w:rPr>
  </w:style>
  <w:style w:type="paragraph" w:customStyle="1" w:styleId="Metadatabunntekst">
    <w:name w:val="Metadata bunntekst"/>
    <w:basedOn w:val="Normal"/>
    <w:link w:val="MetadatabunntekstTegn"/>
    <w:qFormat/>
    <w:rsid w:val="00501F0B"/>
    <w:rPr>
      <w:sz w:val="22"/>
    </w:rPr>
  </w:style>
  <w:style w:type="character" w:customStyle="1" w:styleId="MetadatabunntekstTegn">
    <w:name w:val="Metadata bunntekst Tegn"/>
    <w:basedOn w:val="DefaultParagraphFont"/>
    <w:link w:val="Metadatabunntekst"/>
    <w:rsid w:val="00501F0B"/>
    <w:rPr>
      <w:rFonts w:ascii="Arial" w:hAnsi="Arial"/>
      <w:noProof/>
      <w14:ligatures w14:val="standardContextual"/>
    </w:rPr>
  </w:style>
  <w:style w:type="character" w:customStyle="1" w:styleId="Overskrift2Tegn">
    <w:name w:val="Overskrift 2 Tegn"/>
    <w:basedOn w:val="DefaultParagraphFont"/>
    <w:link w:val="Heading2"/>
    <w:uiPriority w:val="9"/>
    <w:semiHidden/>
    <w:rsid w:val="0049566A"/>
    <w:rPr>
      <w:rFonts w:ascii="Calibri" w:hAnsi="Calibri" w:eastAsiaTheme="majorEastAsia" w:cstheme="majorBidi"/>
      <w:b/>
      <w:noProof/>
      <w:sz w:val="26"/>
      <w:szCs w:val="26"/>
      <w14:ligatures w14:val="standardContextual"/>
    </w:rPr>
  </w:style>
  <w:style w:type="paragraph" w:styleId="Title">
    <w:name w:val="Title"/>
    <w:basedOn w:val="Normal"/>
    <w:next w:val="Normal"/>
    <w:link w:val="TittelTegn"/>
    <w:uiPriority w:val="10"/>
    <w:qFormat/>
    <w:rsid w:val="00BE248A"/>
    <w:pPr>
      <w:contextualSpacing/>
    </w:pPr>
    <w:rPr>
      <w:rFonts w:eastAsiaTheme="majorEastAsia" w:cstheme="majorBidi"/>
      <w:spacing w:val="-10"/>
      <w:kern w:val="28"/>
      <w:sz w:val="32"/>
      <w:szCs w:val="56"/>
    </w:rPr>
  </w:style>
  <w:style w:type="character" w:customStyle="1" w:styleId="TittelTegn">
    <w:name w:val="Tittel Tegn"/>
    <w:basedOn w:val="DefaultParagraphFont"/>
    <w:link w:val="Title"/>
    <w:uiPriority w:val="10"/>
    <w:rsid w:val="00BE248A"/>
    <w:rPr>
      <w:rFonts w:ascii="Calibri" w:hAnsi="Calibri" w:eastAsiaTheme="majorEastAsia" w:cstheme="majorBidi"/>
      <w:noProof/>
      <w:spacing w:val="-10"/>
      <w:kern w:val="28"/>
      <w:sz w:val="32"/>
      <w:szCs w:val="56"/>
      <w14:ligatures w14:val="standardContextual"/>
    </w:rPr>
  </w:style>
  <w:style w:type="paragraph" w:styleId="Caption">
    <w:name w:val="caption"/>
    <w:basedOn w:val="Normal"/>
    <w:next w:val="Normal"/>
    <w:unhideWhenUsed/>
    <w:qFormat/>
    <w:rsid w:val="005F1094"/>
    <w:pPr>
      <w:spacing w:after="200"/>
    </w:pPr>
    <w:rPr>
      <w:rFonts w:eastAsia="Times New Roman" w:cs="Times New Roman"/>
      <w:i/>
      <w:iCs/>
      <w:noProof w:val="0"/>
      <w:color w:val="1F497D" w:themeColor="text2"/>
      <w:sz w:val="18"/>
      <w:szCs w:val="18"/>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_rels/numbering.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AAB4-C734-40AA-B3B3-AED8BCF7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443</Words>
  <Characters>2349</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ASPIT AS</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Kjetil Holsæter</dc:creator>
  <cp:lastModifiedBy>Anne-Sofie Bergene Strømme</cp:lastModifiedBy>
  <cp:revision>22</cp:revision>
  <cp:lastPrinted>2021-12-09T17:49:00Z</cp:lastPrinted>
  <dcterms:created xsi:type="dcterms:W3CDTF">2024-01-17T22:19:00Z</dcterms:created>
  <dcterms:modified xsi:type="dcterms:W3CDTF">2025-04-10T10:58:00Z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7ded4a-67f5-4711-b597-253aeaf659b9_ActionId">
    <vt:lpwstr>3218c633-d4a8-45ad-aac3-59b5795e1db9</vt:lpwstr>
  </property>
  <property fmtid="{D5CDD505-2E9C-101B-9397-08002B2CF9AE}" pid="3" name="MSIP_Label_4c7ded4a-67f5-4711-b597-253aeaf659b9_ContentBits">
    <vt:lpwstr>0</vt:lpwstr>
  </property>
  <property fmtid="{D5CDD505-2E9C-101B-9397-08002B2CF9AE}" pid="4" name="MSIP_Label_4c7ded4a-67f5-4711-b597-253aeaf659b9_Enabled">
    <vt:lpwstr>true</vt:lpwstr>
  </property>
  <property fmtid="{D5CDD505-2E9C-101B-9397-08002B2CF9AE}" pid="5" name="MSIP_Label_4c7ded4a-67f5-4711-b597-253aeaf659b9_Method">
    <vt:lpwstr>Standard</vt:lpwstr>
  </property>
  <property fmtid="{D5CDD505-2E9C-101B-9397-08002B2CF9AE}" pid="6" name="MSIP_Label_4c7ded4a-67f5-4711-b597-253aeaf659b9_Name">
    <vt:lpwstr>Public</vt:lpwstr>
  </property>
  <property fmtid="{D5CDD505-2E9C-101B-9397-08002B2CF9AE}" pid="7" name="MSIP_Label_4c7ded4a-67f5-4711-b597-253aeaf659b9_SetDate">
    <vt:lpwstr>2023-10-01T17:28:11Z</vt:lpwstr>
  </property>
  <property fmtid="{D5CDD505-2E9C-101B-9397-08002B2CF9AE}" pid="8" name="MSIP_Label_4c7ded4a-67f5-4711-b597-253aeaf659b9_SiteId">
    <vt:lpwstr>b716bd50-85d2-417b-8540-2a4d8d97f738</vt:lpwstr>
  </property>
</Properties>
</file>