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6.0 -->
  <w:body>
    <w:p w:rsidR="00DD1515" w:rsidRPr="00120A01" w:rsidP="00450E51" w14:paraId="79C97DF5" w14:textId="77777777">
      <w:pPr>
        <w:pStyle w:val="Heading1"/>
        <w:rPr>
          <w:b w:val="0"/>
          <w:bCs w:val="0"/>
          <w:sz w:val="24"/>
          <w:szCs w:val="24"/>
        </w:rPr>
      </w:pPr>
      <w:r w:rsidRPr="00120A01">
        <w:t>S</w:t>
      </w:r>
      <w:r w:rsidRPr="00120A01" w:rsidR="00791603">
        <w:t>aksframlegg</w:t>
      </w:r>
      <w:r w:rsidRPr="00120A01">
        <w:br/>
      </w:r>
    </w:p>
    <w:tbl>
      <w:tblPr>
        <w:tblW w:w="9639"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20"/>
      </w:tblPr>
      <w:tblGrid>
        <w:gridCol w:w="5954"/>
        <w:gridCol w:w="1843"/>
        <w:gridCol w:w="1842"/>
      </w:tblGrid>
      <w:tr w14:paraId="584F8E6D" w14:textId="77777777" w:rsidTr="00E41AAC">
        <w:tblPrEx>
          <w:tblW w:w="9639"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20"/>
        </w:tblPrEx>
        <w:tc>
          <w:tcPr>
            <w:tcW w:w="5954" w:type="dxa"/>
          </w:tcPr>
          <w:p w:rsidR="00450E51" w:rsidRPr="00120A01" w:rsidP="00E41AAC" w14:paraId="41F20635" w14:textId="77777777">
            <w:pPr>
              <w:rPr>
                <w:rFonts w:asciiTheme="minorHAnsi" w:hAnsiTheme="minorHAnsi" w:cstheme="minorHAnsi"/>
                <w:b/>
              </w:rPr>
            </w:pPr>
            <w:bookmarkStart w:id="0" w:name="FastTabell"/>
            <w:bookmarkEnd w:id="0"/>
            <w:r w:rsidRPr="00120A01">
              <w:rPr>
                <w:rFonts w:asciiTheme="minorHAnsi" w:hAnsiTheme="minorHAnsi" w:cstheme="minorHAnsi"/>
                <w:b/>
              </w:rPr>
              <w:t xml:space="preserve">Utval </w:t>
            </w:r>
          </w:p>
        </w:tc>
        <w:tc>
          <w:tcPr>
            <w:tcW w:w="1843" w:type="dxa"/>
          </w:tcPr>
          <w:p w:rsidR="00450E51" w:rsidRPr="00120A01" w:rsidP="00E41AAC" w14:paraId="7CE4EFCC" w14:textId="77777777">
            <w:pPr>
              <w:rPr>
                <w:rFonts w:asciiTheme="minorHAnsi" w:hAnsiTheme="minorHAnsi" w:cstheme="minorHAnsi"/>
                <w:b/>
              </w:rPr>
            </w:pPr>
            <w:r w:rsidRPr="00120A01">
              <w:rPr>
                <w:rFonts w:asciiTheme="minorHAnsi" w:hAnsiTheme="minorHAnsi" w:cstheme="minorHAnsi"/>
                <w:b/>
              </w:rPr>
              <w:t>Møtedato</w:t>
            </w:r>
          </w:p>
        </w:tc>
        <w:tc>
          <w:tcPr>
            <w:tcW w:w="1842" w:type="dxa"/>
          </w:tcPr>
          <w:p w:rsidR="00450E51" w:rsidRPr="00120A01" w:rsidP="00E41AAC" w14:paraId="75D06F6D" w14:textId="77777777">
            <w:pPr>
              <w:rPr>
                <w:rFonts w:asciiTheme="minorHAnsi" w:hAnsiTheme="minorHAnsi" w:cstheme="minorHAnsi"/>
                <w:b/>
              </w:rPr>
            </w:pPr>
            <w:r w:rsidRPr="00120A01">
              <w:rPr>
                <w:rFonts w:asciiTheme="minorHAnsi" w:hAnsiTheme="minorHAnsi" w:cstheme="minorHAnsi"/>
                <w:b/>
              </w:rPr>
              <w:t>Utvalsak</w:t>
            </w:r>
          </w:p>
        </w:tc>
      </w:tr>
      <w:tr w14:paraId="6491871E" w14:textId="77777777" w:rsidTr="00E41AAC">
        <w:tblPrEx>
          <w:tblW w:w="9639" w:type="dxa"/>
          <w:tblInd w:w="-8" w:type="dxa"/>
          <w:tblLayout w:type="fixed"/>
          <w:tblCellMar>
            <w:left w:w="70" w:type="dxa"/>
            <w:right w:w="70" w:type="dxa"/>
          </w:tblCellMar>
          <w:tblLook w:val="0020"/>
        </w:tblPrEx>
        <w:tc>
          <w:tcPr>
            <w:tcW w:w="5954" w:type="dxa"/>
          </w:tcPr>
          <w:p w:rsidR="00450E51" w:rsidRPr="00120A01" w:rsidP="00E41AAC" w14:paraId="7F17BFBD" w14:textId="77777777">
            <w:pPr>
              <w:rPr>
                <w:rFonts w:asciiTheme="minorHAnsi" w:hAnsiTheme="minorHAnsi" w:cstheme="minorHAnsi"/>
              </w:rPr>
            </w:pPr>
            <w:bookmarkStart w:id="1" w:name="Saksgang"/>
            <w:bookmarkEnd w:id="1"/>
            <w:r w:rsidRPr="00120A01">
              <w:rPr>
                <w:rFonts w:asciiTheme="minorHAnsi" w:hAnsiTheme="minorHAnsi" w:cstheme="minorHAnsi"/>
              </w:rPr>
              <w:t>Plan- og miljøutvalet</w:t>
            </w:r>
          </w:p>
        </w:tc>
        <w:tc>
          <w:tcPr>
            <w:tcW w:w="1843" w:type="dxa"/>
          </w:tcPr>
          <w:p w:rsidR="00450E51" w:rsidRPr="00120A01" w:rsidP="00E41AAC" w14:paraId="4D23B530" w14:textId="77777777">
            <w:pPr>
              <w:rPr>
                <w:rFonts w:asciiTheme="minorHAnsi" w:hAnsiTheme="minorHAnsi" w:cstheme="minorHAnsi"/>
              </w:rPr>
            </w:pPr>
            <w:r w:rsidRPr="00120A01">
              <w:rPr>
                <w:rFonts w:asciiTheme="minorHAnsi" w:hAnsiTheme="minorHAnsi" w:cstheme="minorHAnsi"/>
              </w:rPr>
              <w:t>18.03.2026</w:t>
            </w:r>
          </w:p>
        </w:tc>
        <w:tc>
          <w:tcPr>
            <w:tcW w:w="1842" w:type="dxa"/>
          </w:tcPr>
          <w:p w:rsidR="00450E51" w:rsidRPr="00120A01" w:rsidP="00E41AAC" w14:paraId="6DEAD245" w14:textId="77777777">
            <w:pPr>
              <w:rPr>
                <w:rFonts w:asciiTheme="minorHAnsi" w:hAnsiTheme="minorHAnsi" w:cstheme="minorHAnsi"/>
              </w:rPr>
            </w:pPr>
            <w:r w:rsidRPr="00120A01">
              <w:rPr>
                <w:rFonts w:asciiTheme="minorHAnsi" w:hAnsiTheme="minorHAnsi" w:cstheme="minorHAnsi"/>
              </w:rPr>
              <w:t>32/26</w:t>
            </w:r>
          </w:p>
        </w:tc>
      </w:tr>
    </w:tbl>
    <w:p w:rsidR="00450E51" w:rsidRPr="00120A01" w:rsidP="00450E51" w14:paraId="3DF97306" w14:textId="77777777">
      <w:pPr>
        <w:pStyle w:val="NormalElements"/>
        <w:spacing w:line="276" w:lineRule="auto"/>
        <w:rPr>
          <w:rFonts w:cstheme="minorHAnsi"/>
        </w:rPr>
      </w:pPr>
    </w:p>
    <w:p w:rsidR="00450E51" w:rsidRPr="00120A01" w:rsidP="00EC0E3C" w14:paraId="25BE80F4" w14:textId="77777777">
      <w:pPr>
        <w:pStyle w:val="Heading1"/>
      </w:pPr>
      <w:bookmarkStart w:id="2" w:name="TITTEL"/>
      <w:r w:rsidRPr="00120A01">
        <w:t>Klage over habilitetsavgjerd</w:t>
      </w:r>
      <w:bookmarkEnd w:id="2"/>
    </w:p>
    <w:p w:rsidR="000964DC" w:rsidRPr="00120A01" w:rsidP="000964DC" w14:paraId="1865C6F7" w14:textId="77777777"/>
    <w:p w:rsidR="000964DC" w:rsidRPr="00120A01" w:rsidP="000964DC" w14:paraId="138EBFA9" w14:textId="77777777"/>
    <w:p w:rsidR="00450E51" w:rsidRPr="00120A01" w:rsidP="009C4240" w14:paraId="665B6646" w14:textId="77777777">
      <w:pPr>
        <w:pStyle w:val="Heading2"/>
      </w:pPr>
      <w:r w:rsidRPr="00120A01">
        <w:t>Vedlegg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8771"/>
      </w:tblGrid>
      <w:tr w14:paraId="592A7B39" w14:textId="77777777" w:rsidTr="00F60F2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62" w:type="dxa"/>
          </w:tcPr>
          <w:p w:rsidR="00806FB2" w:rsidRPr="00120A01" w:rsidP="000964DC" w14:paraId="5B6F67E4" w14:textId="77777777">
            <w:bookmarkStart w:id="3" w:name="Vedlegg"/>
            <w:bookmarkEnd w:id="3"/>
            <w:r w:rsidRPr="00120A01">
              <w:t>1</w:t>
            </w:r>
          </w:p>
        </w:tc>
        <w:tc>
          <w:tcPr>
            <w:tcW w:w="8771" w:type="dxa"/>
          </w:tcPr>
          <w:p w:rsidR="00806FB2" w:rsidRPr="00120A01" w:rsidP="000964DC" w14:paraId="5BF17536" w14:textId="77777777">
            <w:r w:rsidRPr="00120A01">
              <w:t>Klagesak, ugildskap.docx</w:t>
            </w:r>
          </w:p>
        </w:tc>
      </w:tr>
      <w:tr w14:paraId="11BC879D" w14:textId="77777777" w:rsidTr="00F60F2B">
        <w:tblPrEx>
          <w:tblW w:w="0" w:type="auto"/>
          <w:tblLook w:val="04A0"/>
        </w:tblPrEx>
        <w:tc>
          <w:tcPr>
            <w:tcW w:w="562" w:type="dxa"/>
          </w:tcPr>
          <w:p w:rsidR="00806FB2" w:rsidRPr="00120A01" w:rsidP="000964DC" w14:paraId="4DC6150B" w14:textId="77777777">
            <w:r w:rsidRPr="00120A01">
              <w:t>2</w:t>
            </w:r>
          </w:p>
        </w:tc>
        <w:tc>
          <w:tcPr>
            <w:tcW w:w="8771" w:type="dxa"/>
          </w:tcPr>
          <w:p w:rsidR="00806FB2" w:rsidRPr="00120A01" w:rsidP="000964DC" w14:paraId="432230F2" w14:textId="77777777">
            <w:r w:rsidRPr="00120A01">
              <w:t xml:space="preserve">Klagesak - </w:t>
            </w:r>
            <w:r w:rsidRPr="00120A01">
              <w:t>Flåmyrane</w:t>
            </w:r>
            <w:r w:rsidRPr="00120A01">
              <w:t xml:space="preserve"> III.docx</w:t>
            </w:r>
          </w:p>
        </w:tc>
      </w:tr>
    </w:tbl>
    <w:p w:rsidR="006B369C" w:rsidRPr="00120A01" w:rsidP="006B369C" w14:paraId="08AB4165" w14:textId="77777777"/>
    <w:p w:rsidR="00B35EE4" w:rsidRPr="00120A01" w:rsidP="00B35EE4" w14:paraId="2CF86B60" w14:textId="77777777">
      <w:pPr>
        <w:pStyle w:val="Heading2"/>
      </w:pPr>
      <w:r w:rsidRPr="00120A01">
        <w:t>Dokument i saka</w:t>
      </w:r>
    </w:p>
    <w:p w:rsidR="00B35EE4" w:rsidRPr="003456FB" w:rsidP="00450E51" w14:paraId="513C17BE" w14:textId="2DC388D9">
      <w:pPr>
        <w:pStyle w:val="Heading2"/>
        <w:rPr>
          <w:rFonts w:asciiTheme="minorHAnsi" w:hAnsiTheme="minorHAnsi" w:cstheme="minorHAnsi"/>
          <w:b w:val="0"/>
          <w:bCs/>
          <w:sz w:val="24"/>
          <w:szCs w:val="24"/>
        </w:rPr>
      </w:pPr>
      <w:bookmarkStart w:id="4" w:name="Start"/>
      <w:bookmarkEnd w:id="4"/>
      <w:r w:rsidRPr="003456FB">
        <w:rPr>
          <w:rFonts w:asciiTheme="minorHAnsi" w:hAnsiTheme="minorHAnsi" w:cstheme="minorHAnsi"/>
          <w:b w:val="0"/>
          <w:bCs/>
          <w:sz w:val="24"/>
          <w:szCs w:val="24"/>
        </w:rPr>
        <w:t>Planutvalssak 5/2026.</w:t>
      </w:r>
    </w:p>
    <w:p w:rsidR="003456FB" w:rsidRPr="003456FB" w:rsidP="003456FB" w14:paraId="44C1268E" w14:textId="77777777"/>
    <w:p w:rsidR="00450E51" w:rsidRPr="00120A01" w:rsidP="00450E51" w14:paraId="0967B403" w14:textId="77777777">
      <w:pPr>
        <w:pStyle w:val="Heading2"/>
        <w:rPr>
          <w:rFonts w:asciiTheme="minorHAnsi" w:hAnsiTheme="minorHAnsi" w:cstheme="minorHAnsi"/>
        </w:rPr>
      </w:pPr>
      <w:r w:rsidRPr="00120A01">
        <w:rPr>
          <w:rFonts w:asciiTheme="minorHAnsi" w:hAnsiTheme="minorHAnsi" w:cstheme="minorHAnsi"/>
        </w:rPr>
        <w:t>Bakgrunn</w:t>
      </w:r>
    </w:p>
    <w:p w:rsidR="00953594" w:rsidRPr="00B573ED" w:rsidP="00953594" w14:paraId="6A717E5A" w14:textId="6ABC1129">
      <w:pPr>
        <w:rPr>
          <w:rFonts w:cs="Calibri"/>
          <w:szCs w:val="24"/>
        </w:rPr>
      </w:pPr>
      <w:r>
        <w:rPr>
          <w:rFonts w:cs="Calibri"/>
          <w:szCs w:val="24"/>
        </w:rPr>
        <w:t xml:space="preserve">I plan- og miljøutvalet si sakshandsaming av sak 5/2026 fann utvalet </w:t>
      </w:r>
      <w:r w:rsidRPr="00316D7F">
        <w:rPr>
          <w:rFonts w:cs="Calibri"/>
          <w:szCs w:val="24"/>
        </w:rPr>
        <w:t xml:space="preserve">med 4 mot 2 røyster Irja Godal ugild i saka jf. </w:t>
      </w:r>
      <w:r w:rsidR="003456FB">
        <w:rPr>
          <w:rFonts w:cs="Calibri"/>
          <w:szCs w:val="24"/>
        </w:rPr>
        <w:t>forvaltingslova</w:t>
      </w:r>
      <w:r w:rsidRPr="00316D7F">
        <w:rPr>
          <w:rFonts w:cs="Calibri"/>
          <w:szCs w:val="24"/>
        </w:rPr>
        <w:t xml:space="preserve"> § 6, 2. ledd.</w:t>
      </w:r>
      <w:r>
        <w:rPr>
          <w:rFonts w:cs="Calibri"/>
          <w:szCs w:val="24"/>
        </w:rPr>
        <w:t xml:space="preserve"> Godal har klaga på avgjerda om u</w:t>
      </w:r>
      <w:r w:rsidRPr="00B573ED">
        <w:rPr>
          <w:rFonts w:cs="Calibri"/>
          <w:szCs w:val="24"/>
        </w:rPr>
        <w:t>gildskap</w:t>
      </w:r>
      <w:r>
        <w:rPr>
          <w:rFonts w:cs="Calibri"/>
          <w:szCs w:val="24"/>
        </w:rPr>
        <w:t>, sjå vedlegg</w:t>
      </w:r>
      <w:r w:rsidR="00BA7ED4">
        <w:rPr>
          <w:rFonts w:cs="Calibri"/>
          <w:szCs w:val="24"/>
        </w:rPr>
        <w:t xml:space="preserve"> 1</w:t>
      </w:r>
      <w:r>
        <w:rPr>
          <w:rFonts w:cs="Calibri"/>
          <w:szCs w:val="24"/>
        </w:rPr>
        <w:t>.</w:t>
      </w:r>
      <w:r w:rsidR="00BA7ED4">
        <w:rPr>
          <w:rFonts w:cs="Calibri"/>
          <w:szCs w:val="24"/>
        </w:rPr>
        <w:t xml:space="preserve"> Naturvernforbundet i Vest-Telemark har òg sendt inn eit tillegg til klaga frå Godal, sjå vedlegg 2.</w:t>
      </w:r>
    </w:p>
    <w:p w:rsidR="00953594" w:rsidRPr="00B573ED" w:rsidP="00953594" w14:paraId="1F09236E" w14:textId="77777777">
      <w:pPr>
        <w:rPr>
          <w:rFonts w:cs="Calibri"/>
          <w:szCs w:val="24"/>
        </w:rPr>
      </w:pPr>
    </w:p>
    <w:p w:rsidR="00450E51" w:rsidRPr="00120A01" w:rsidP="00450E51" w14:paraId="3CA0F98B" w14:textId="77777777">
      <w:pPr>
        <w:pStyle w:val="Heading2"/>
        <w:rPr>
          <w:rFonts w:asciiTheme="minorHAnsi" w:hAnsiTheme="minorHAnsi" w:cstheme="minorHAnsi"/>
        </w:rPr>
      </w:pPr>
      <w:r w:rsidRPr="00120A01">
        <w:rPr>
          <w:rFonts w:asciiTheme="minorHAnsi" w:hAnsiTheme="minorHAnsi" w:cstheme="minorHAnsi"/>
        </w:rPr>
        <w:t>Vurdering</w:t>
      </w:r>
    </w:p>
    <w:p w:rsidR="00316D7F" w:rsidRPr="00B573ED" w:rsidP="00316D7F" w14:paraId="06922763" w14:textId="77777777">
      <w:pPr>
        <w:rPr>
          <w:rFonts w:cs="Calibri"/>
          <w:szCs w:val="24"/>
        </w:rPr>
      </w:pPr>
      <w:r w:rsidRPr="00B573ED">
        <w:rPr>
          <w:rFonts w:cs="Calibri"/>
          <w:szCs w:val="24"/>
        </w:rPr>
        <w:t xml:space="preserve">Formålet med inhabilitetsreglane i forvaltningslova er først og fremst å hindre at avgjerdene blir uriktige fordi ein tenestemann tek usaklege omsyn i førebuing eller avgjerd i ei sak. Altså ei førebygging av at det blir tatt usaklege omsyn under sakshandsaminga. </w:t>
      </w:r>
    </w:p>
    <w:p w:rsidR="00316D7F" w:rsidP="00316D7F" w14:paraId="2FFDA4EF" w14:textId="77777777">
      <w:pPr>
        <w:rPr>
          <w:rFonts w:cs="Calibri"/>
          <w:szCs w:val="24"/>
        </w:rPr>
      </w:pPr>
    </w:p>
    <w:p w:rsidR="00BA7ED4" w:rsidP="00BA7ED4" w14:paraId="007F8798" w14:textId="173B9251">
      <w:pPr>
        <w:rPr>
          <w:rFonts w:cs="Calibri"/>
          <w:szCs w:val="24"/>
        </w:rPr>
      </w:pPr>
      <w:r w:rsidRPr="002F0349">
        <w:rPr>
          <w:rFonts w:cs="Calibri"/>
          <w:szCs w:val="24"/>
        </w:rPr>
        <w:t xml:space="preserve">Ei avgjerd om habilitet </w:t>
      </w:r>
      <w:r>
        <w:rPr>
          <w:rFonts w:cs="Calibri"/>
          <w:szCs w:val="24"/>
        </w:rPr>
        <w:t xml:space="preserve">i eit kommunalt organ </w:t>
      </w:r>
      <w:r w:rsidRPr="002F0349">
        <w:rPr>
          <w:rFonts w:cs="Calibri"/>
          <w:szCs w:val="24"/>
        </w:rPr>
        <w:t xml:space="preserve">er i ei prosessuell avgjerd, </w:t>
      </w:r>
      <w:r>
        <w:rPr>
          <w:rFonts w:cs="Calibri"/>
          <w:szCs w:val="24"/>
        </w:rPr>
        <w:t>og ikkje eit enkeltvedtak</w:t>
      </w:r>
      <w:r w:rsidRPr="00BA7ED4">
        <w:rPr>
          <w:rFonts w:cs="Calibri"/>
          <w:szCs w:val="24"/>
        </w:rPr>
        <w:t xml:space="preserve"> etter</w:t>
      </w:r>
      <w:r w:rsidR="002E13AF">
        <w:rPr>
          <w:rFonts w:cs="Calibri"/>
          <w:szCs w:val="24"/>
        </w:rPr>
        <w:t xml:space="preserve"> forvaltingslova</w:t>
      </w:r>
      <w:r w:rsidRPr="00BA7ED4">
        <w:rPr>
          <w:rFonts w:cs="Calibri"/>
          <w:szCs w:val="24"/>
        </w:rPr>
        <w:t> </w:t>
      </w:r>
      <w:hyperlink r:id="rId5" w:anchor="/Dokument/gL19670210z2EzA72" w:history="1">
        <w:r w:rsidRPr="00BA7ED4">
          <w:rPr>
            <w:rStyle w:val="Hyperlink"/>
            <w:rFonts w:cs="Calibri"/>
            <w:szCs w:val="24"/>
          </w:rPr>
          <w:t>§ 2</w:t>
        </w:r>
      </w:hyperlink>
      <w:r w:rsidRPr="00BA7ED4">
        <w:rPr>
          <w:rFonts w:cs="Calibri"/>
          <w:szCs w:val="24"/>
        </w:rPr>
        <w:t> første ledd bokstav b. Regl</w:t>
      </w:r>
      <w:r>
        <w:rPr>
          <w:rFonts w:cs="Calibri"/>
          <w:szCs w:val="24"/>
        </w:rPr>
        <w:t>a</w:t>
      </w:r>
      <w:r w:rsidRPr="00BA7ED4">
        <w:rPr>
          <w:rFonts w:cs="Calibri"/>
          <w:szCs w:val="24"/>
        </w:rPr>
        <w:t>ne i lovens </w:t>
      </w:r>
      <w:hyperlink r:id="rId5" w:anchor="/Dokument/gL19670210z2EKIV" w:history="1">
        <w:r w:rsidRPr="00BA7ED4">
          <w:rPr>
            <w:rStyle w:val="Hyperlink"/>
            <w:rFonts w:cs="Calibri"/>
            <w:szCs w:val="24"/>
          </w:rPr>
          <w:t>kap. IV</w:t>
        </w:r>
      </w:hyperlink>
      <w:r w:rsidRPr="00BA7ED4">
        <w:rPr>
          <w:rFonts w:cs="Calibri"/>
          <w:szCs w:val="24"/>
        </w:rPr>
        <w:t> til </w:t>
      </w:r>
      <w:hyperlink r:id="rId5" w:anchor="/Dokument/gL19670210z2EKVI" w:history="1">
        <w:r w:rsidRPr="00BA7ED4">
          <w:rPr>
            <w:rStyle w:val="Hyperlink"/>
            <w:rFonts w:cs="Calibri"/>
            <w:szCs w:val="24"/>
          </w:rPr>
          <w:t>VI</w:t>
        </w:r>
      </w:hyperlink>
      <w:r w:rsidRPr="00BA7ED4">
        <w:rPr>
          <w:rFonts w:cs="Calibri"/>
          <w:szCs w:val="24"/>
        </w:rPr>
        <w:t xml:space="preserve"> gjeld difor ikkje. Det er dermed ingen direkte plikt til å varsle partane før </w:t>
      </w:r>
      <w:r>
        <w:rPr>
          <w:rFonts w:cs="Calibri"/>
          <w:szCs w:val="24"/>
        </w:rPr>
        <w:t xml:space="preserve">ein treffer ei </w:t>
      </w:r>
      <w:r w:rsidRPr="00BA7ED4">
        <w:rPr>
          <w:rFonts w:cs="Calibri"/>
          <w:szCs w:val="24"/>
        </w:rPr>
        <w:t xml:space="preserve">avgjerd. </w:t>
      </w:r>
      <w:r w:rsidRPr="00466354">
        <w:rPr>
          <w:rFonts w:cs="Calibri"/>
          <w:szCs w:val="24"/>
        </w:rPr>
        <w:t>Etter forhold</w:t>
      </w:r>
      <w:r w:rsidRPr="00466354" w:rsidR="00466354">
        <w:rPr>
          <w:rFonts w:cs="Calibri"/>
          <w:szCs w:val="24"/>
        </w:rPr>
        <w:t>a</w:t>
      </w:r>
      <w:r w:rsidRPr="00466354">
        <w:rPr>
          <w:rFonts w:cs="Calibri"/>
          <w:szCs w:val="24"/>
        </w:rPr>
        <w:t xml:space="preserve"> bør det </w:t>
      </w:r>
      <w:r w:rsidRPr="00466354">
        <w:rPr>
          <w:rFonts w:cs="Calibri"/>
          <w:szCs w:val="24"/>
        </w:rPr>
        <w:t>imidlertid</w:t>
      </w:r>
      <w:r w:rsidRPr="00466354">
        <w:rPr>
          <w:rFonts w:cs="Calibri"/>
          <w:szCs w:val="24"/>
        </w:rPr>
        <w:t xml:space="preserve"> innhent</w:t>
      </w:r>
      <w:r w:rsidRPr="00466354" w:rsidR="00466354">
        <w:rPr>
          <w:rFonts w:cs="Calibri"/>
          <w:szCs w:val="24"/>
        </w:rPr>
        <w:t>ast</w:t>
      </w:r>
      <w:r w:rsidRPr="00466354">
        <w:rPr>
          <w:rFonts w:cs="Calibri"/>
          <w:szCs w:val="24"/>
        </w:rPr>
        <w:t xml:space="preserve"> uttale fr</w:t>
      </w:r>
      <w:r w:rsidRPr="00466354" w:rsidR="00466354">
        <w:rPr>
          <w:rFonts w:cs="Calibri"/>
          <w:szCs w:val="24"/>
        </w:rPr>
        <w:t>å</w:t>
      </w:r>
      <w:r w:rsidRPr="00466354">
        <w:rPr>
          <w:rFonts w:cs="Calibri"/>
          <w:szCs w:val="24"/>
        </w:rPr>
        <w:t xml:space="preserve"> de</w:t>
      </w:r>
      <w:r w:rsidRPr="00466354" w:rsidR="00466354">
        <w:rPr>
          <w:rFonts w:cs="Calibri"/>
          <w:szCs w:val="24"/>
        </w:rPr>
        <w:t>i</w:t>
      </w:r>
      <w:r w:rsidRPr="00466354">
        <w:rPr>
          <w:rFonts w:cs="Calibri"/>
          <w:szCs w:val="24"/>
        </w:rPr>
        <w:t xml:space="preserve"> </w:t>
      </w:r>
      <w:r w:rsidRPr="00466354">
        <w:rPr>
          <w:rFonts w:cs="Calibri"/>
          <w:szCs w:val="24"/>
        </w:rPr>
        <w:t>berørte</w:t>
      </w:r>
      <w:r w:rsidRPr="00466354">
        <w:rPr>
          <w:rFonts w:cs="Calibri"/>
          <w:szCs w:val="24"/>
        </w:rPr>
        <w:t xml:space="preserve"> på grunnlag av god forvaltningsskikk.</w:t>
      </w:r>
      <w:r w:rsidR="0025752D">
        <w:rPr>
          <w:rFonts w:cs="Calibri"/>
          <w:szCs w:val="24"/>
        </w:rPr>
        <w:t xml:space="preserve"> I dette ligg det at den som skal få sin habilitet vurdert, skal få høve til å uttale seg før organet avgjer spørsmålet.</w:t>
      </w:r>
    </w:p>
    <w:p w:rsidR="00466354" w:rsidP="00BA7ED4" w14:paraId="603AB3FC" w14:textId="77777777">
      <w:pPr>
        <w:rPr>
          <w:rFonts w:cs="Calibri"/>
          <w:szCs w:val="24"/>
        </w:rPr>
      </w:pPr>
    </w:p>
    <w:p w:rsidR="00BA7ED4" w:rsidRPr="00466354" w:rsidP="00316D7F" w14:paraId="144F37E5" w14:textId="4987972A">
      <w:pPr>
        <w:rPr>
          <w:rFonts w:cs="Calibri"/>
          <w:szCs w:val="24"/>
        </w:rPr>
      </w:pPr>
      <w:r>
        <w:rPr>
          <w:rFonts w:cs="Calibri"/>
          <w:szCs w:val="24"/>
        </w:rPr>
        <w:t>I Rettsdata sin lovkommentar står det følgjande å lese:</w:t>
      </w:r>
    </w:p>
    <w:p w:rsidR="00BA7ED4" w:rsidRPr="002F6C9F" w:rsidP="00316D7F" w14:paraId="70602998" w14:textId="69EF6172">
      <w:pPr>
        <w:rPr>
          <w:rFonts w:cs="Calibri"/>
          <w:szCs w:val="24"/>
        </w:rPr>
      </w:pPr>
      <w:r w:rsidRPr="00466354">
        <w:rPr>
          <w:rFonts w:cs="Calibri"/>
          <w:i/>
          <w:iCs/>
          <w:szCs w:val="24"/>
        </w:rPr>
        <w:t xml:space="preserve">"Vedtak som gjelder spørsmål om inhabilitet i kommunale </w:t>
      </w:r>
      <w:r w:rsidRPr="00466354">
        <w:rPr>
          <w:rFonts w:cs="Calibri"/>
          <w:i/>
          <w:iCs/>
          <w:szCs w:val="24"/>
        </w:rPr>
        <w:t>organer</w:t>
      </w:r>
      <w:r w:rsidRPr="00466354">
        <w:rPr>
          <w:rFonts w:cs="Calibri"/>
          <w:i/>
          <w:iCs/>
          <w:szCs w:val="24"/>
        </w:rPr>
        <w:t xml:space="preserve">, kan bringes inn for </w:t>
      </w:r>
      <w:r w:rsidRPr="00466354">
        <w:rPr>
          <w:rFonts w:cs="Calibri"/>
          <w:i/>
          <w:iCs/>
          <w:szCs w:val="24"/>
        </w:rPr>
        <w:t>statsforvalter</w:t>
      </w:r>
      <w:r w:rsidRPr="00466354">
        <w:rPr>
          <w:rFonts w:cs="Calibri"/>
          <w:i/>
          <w:iCs/>
          <w:szCs w:val="24"/>
        </w:rPr>
        <w:t xml:space="preserve"> eller departementet til </w:t>
      </w:r>
      <w:r w:rsidRPr="00466354">
        <w:rPr>
          <w:rFonts w:cs="Calibri"/>
          <w:i/>
          <w:iCs/>
          <w:szCs w:val="24"/>
        </w:rPr>
        <w:t>lovlighetskontroll</w:t>
      </w:r>
      <w:r w:rsidRPr="00466354">
        <w:rPr>
          <w:rFonts w:cs="Calibri"/>
          <w:i/>
          <w:iCs/>
          <w:szCs w:val="24"/>
        </w:rPr>
        <w:t xml:space="preserve"> etter </w:t>
      </w:r>
      <w:r w:rsidRPr="00466354">
        <w:rPr>
          <w:rFonts w:cs="Calibri"/>
          <w:i/>
          <w:iCs/>
          <w:szCs w:val="24"/>
        </w:rPr>
        <w:t>koml</w:t>
      </w:r>
      <w:r w:rsidRPr="00466354">
        <w:rPr>
          <w:rFonts w:cs="Calibri"/>
          <w:i/>
          <w:iCs/>
          <w:szCs w:val="24"/>
        </w:rPr>
        <w:t>. </w:t>
      </w:r>
      <w:hyperlink r:id="rId5" w:anchor="/Dokument/gL20180622z2D83z2EzA727z2D1" w:history="1">
        <w:r w:rsidRPr="00466354">
          <w:rPr>
            <w:rStyle w:val="Hyperlink"/>
            <w:rFonts w:cs="Calibri"/>
            <w:i/>
            <w:iCs/>
            <w:szCs w:val="24"/>
            <w:lang w:val="nb-NO"/>
          </w:rPr>
          <w:t>§ 27-1</w:t>
        </w:r>
      </w:hyperlink>
      <w:r w:rsidRPr="00466354">
        <w:rPr>
          <w:rFonts w:cs="Calibri"/>
          <w:i/>
          <w:iCs/>
          <w:szCs w:val="24"/>
          <w:lang w:val="nb-NO"/>
        </w:rPr>
        <w:t> første ledd og </w:t>
      </w:r>
      <w:hyperlink r:id="rId5" w:anchor="/Dokument/gL20180622z2D83z2EzA727z2D2" w:history="1">
        <w:r w:rsidRPr="00466354">
          <w:rPr>
            <w:rStyle w:val="Hyperlink"/>
            <w:rFonts w:cs="Calibri"/>
            <w:i/>
            <w:iCs/>
            <w:szCs w:val="24"/>
            <w:lang w:val="nb-NO"/>
          </w:rPr>
          <w:t>§ 27-2</w:t>
        </w:r>
      </w:hyperlink>
      <w:r w:rsidRPr="00466354">
        <w:rPr>
          <w:rFonts w:cs="Calibri"/>
          <w:i/>
          <w:iCs/>
          <w:szCs w:val="24"/>
          <w:lang w:val="nb-NO"/>
        </w:rPr>
        <w:t xml:space="preserve"> første ledd, bokstav c. Men inhabilitet kan neppe prøves av eget tiltak av statsforvalter. Det </w:t>
      </w:r>
      <w:r w:rsidRPr="00466354">
        <w:rPr>
          <w:rFonts w:cs="Calibri"/>
          <w:i/>
          <w:iCs/>
          <w:szCs w:val="24"/>
          <w:lang w:val="nb-NO"/>
        </w:rPr>
        <w:t>må i så fall skje ved at statsforvalteren av eget tiltak prøver lovligheten av et selvstendig vedtak, og da tar stilling til om det er ugyldig pga. inhabilitet. Slik lovlighetskontroll skal etter </w:t>
      </w:r>
      <w:hyperlink r:id="rId5" w:anchor="/Dokument/gL20180622z2D83z2EzA727z2D1" w:history="1">
        <w:r w:rsidRPr="00466354">
          <w:rPr>
            <w:rStyle w:val="Hyperlink"/>
            <w:rFonts w:cs="Calibri"/>
            <w:i/>
            <w:iCs/>
            <w:szCs w:val="24"/>
            <w:lang w:val="nb-NO"/>
          </w:rPr>
          <w:t>§ 27-1</w:t>
        </w:r>
      </w:hyperlink>
      <w:r w:rsidRPr="00466354">
        <w:rPr>
          <w:rFonts w:cs="Calibri"/>
          <w:i/>
          <w:iCs/>
          <w:szCs w:val="24"/>
          <w:lang w:val="nb-NO"/>
        </w:rPr>
        <w:t xml:space="preserve"> andre ledd bare skje der «særlige grunner tilsier det.», jf. </w:t>
      </w:r>
      <w:r w:rsidRPr="00466354">
        <w:rPr>
          <w:rFonts w:cs="Calibri"/>
          <w:i/>
          <w:iCs/>
          <w:szCs w:val="24"/>
          <w:lang w:val="nb-NO"/>
        </w:rPr>
        <w:t>koml</w:t>
      </w:r>
      <w:r w:rsidRPr="00466354">
        <w:rPr>
          <w:rFonts w:cs="Calibri"/>
          <w:i/>
          <w:iCs/>
          <w:szCs w:val="24"/>
          <w:lang w:val="nb-NO"/>
        </w:rPr>
        <w:t>. </w:t>
      </w:r>
      <w:hyperlink r:id="rId5" w:anchor="/Dokument/gL20180622z2D83z2EzA727z2D2" w:history="1">
        <w:r w:rsidRPr="00466354">
          <w:rPr>
            <w:rStyle w:val="Hyperlink"/>
            <w:rFonts w:cs="Calibri"/>
            <w:i/>
            <w:iCs/>
            <w:szCs w:val="24"/>
          </w:rPr>
          <w:t>§ 27-2</w:t>
        </w:r>
      </w:hyperlink>
      <w:r w:rsidRPr="00466354">
        <w:rPr>
          <w:rFonts w:cs="Calibri"/>
          <w:i/>
          <w:iCs/>
          <w:szCs w:val="24"/>
        </w:rPr>
        <w:t> andre ledd bokstav a."</w:t>
      </w:r>
    </w:p>
    <w:p w:rsidR="00316D7F" w:rsidP="00316D7F" w14:paraId="378E56CC" w14:textId="0F0DB1D2">
      <w:pPr>
        <w:rPr>
          <w:rFonts w:cs="Calibri"/>
          <w:szCs w:val="24"/>
        </w:rPr>
      </w:pPr>
      <w:r>
        <w:rPr>
          <w:rFonts w:cs="Calibri"/>
          <w:szCs w:val="24"/>
        </w:rPr>
        <w:t xml:space="preserve">Rettleiinga i Rettsdata presiserer tydeleg at ei avgjerd om ugildskap ikkje er eit enkeltvedtak, men ei prosessleiande handling, ref. definisjonen av vedtak og enkeltvedtak i </w:t>
      </w:r>
      <w:r>
        <w:rPr>
          <w:rFonts w:cs="Calibri"/>
          <w:szCs w:val="24"/>
        </w:rPr>
        <w:t>fvl</w:t>
      </w:r>
      <w:r>
        <w:rPr>
          <w:rFonts w:cs="Calibri"/>
          <w:szCs w:val="24"/>
        </w:rPr>
        <w:t>. § 2:</w:t>
      </w:r>
    </w:p>
    <w:p w:rsidR="002F6C9F" w:rsidRPr="002F6C9F" w:rsidP="002F6C9F" w14:paraId="3B788B71" w14:textId="77777777">
      <w:pPr>
        <w:numPr>
          <w:ilvl w:val="0"/>
          <w:numId w:val="5"/>
        </w:numPr>
        <w:rPr>
          <w:rFonts w:cs="Calibri"/>
          <w:szCs w:val="24"/>
          <w:lang w:val="nb-NO"/>
        </w:rPr>
      </w:pPr>
      <w:r w:rsidRPr="002F6C9F">
        <w:rPr>
          <w:rFonts w:cs="Calibri"/>
          <w:i/>
          <w:iCs/>
          <w:szCs w:val="24"/>
          <w:lang w:val="nb-NO"/>
        </w:rPr>
        <w:t> vedtak, en avgjørelse som treffes under utøving av offentlig myndighet og som generelt eller konkret er bestemmende </w:t>
      </w:r>
      <w:r w:rsidRPr="002F6C9F">
        <w:rPr>
          <w:rFonts w:cs="Calibri"/>
          <w:i/>
          <w:iCs/>
          <w:szCs w:val="24"/>
          <w:u w:val="single"/>
          <w:lang w:val="nb-NO"/>
        </w:rPr>
        <w:t>for rettigheter eller plikter til private personer</w:t>
      </w:r>
      <w:r w:rsidRPr="002F6C9F">
        <w:rPr>
          <w:rFonts w:cs="Calibri"/>
          <w:i/>
          <w:iCs/>
          <w:szCs w:val="24"/>
          <w:lang w:val="nb-NO"/>
        </w:rPr>
        <w:t xml:space="preserve"> (enkeltpersoner eller andre private rettssubjekter)</w:t>
      </w:r>
    </w:p>
    <w:p w:rsidR="002F6C9F" w:rsidRPr="002F6C9F" w:rsidP="002F6C9F" w14:paraId="1A8A3995" w14:textId="77777777">
      <w:pPr>
        <w:numPr>
          <w:ilvl w:val="0"/>
          <w:numId w:val="5"/>
        </w:numPr>
        <w:rPr>
          <w:rFonts w:cs="Calibri"/>
          <w:szCs w:val="24"/>
          <w:lang w:val="nb-NO"/>
        </w:rPr>
      </w:pPr>
      <w:r w:rsidRPr="002F6C9F">
        <w:rPr>
          <w:rFonts w:cs="Calibri"/>
          <w:i/>
          <w:iCs/>
          <w:szCs w:val="24"/>
          <w:lang w:val="nb-NO"/>
        </w:rPr>
        <w:t>enkeltvedtak, et vedtak som gjelder rettigheter eller plikter til en eller flere bestemte personer;</w:t>
      </w:r>
    </w:p>
    <w:p w:rsidR="002F6C9F" w:rsidRPr="002F6C9F" w:rsidP="002F6C9F" w14:paraId="43CFC034" w14:textId="77777777">
      <w:pPr>
        <w:rPr>
          <w:rFonts w:cs="Calibri"/>
          <w:szCs w:val="24"/>
          <w:lang w:val="nb-NO"/>
        </w:rPr>
      </w:pPr>
      <w:r w:rsidRPr="002F6C9F">
        <w:rPr>
          <w:rFonts w:cs="Calibri"/>
          <w:szCs w:val="24"/>
          <w:lang w:val="nb-NO"/>
        </w:rPr>
        <w:t> </w:t>
      </w:r>
    </w:p>
    <w:p w:rsidR="00201D8C" w:rsidRPr="005B20DD" w:rsidP="00201D8C" w14:paraId="004EA6A6" w14:textId="4D1C9F47">
      <w:pPr>
        <w:rPr>
          <w:rFonts w:cs="Calibri"/>
          <w:color w:val="FF0000"/>
          <w:szCs w:val="24"/>
        </w:rPr>
      </w:pPr>
      <w:r w:rsidRPr="00E575F3">
        <w:rPr>
          <w:rFonts w:cs="Calibri"/>
          <w:szCs w:val="24"/>
          <w:lang w:val="nb-NO"/>
        </w:rPr>
        <w:t>Det</w:t>
      </w:r>
      <w:r w:rsidRPr="00E575F3" w:rsidR="00E575F3">
        <w:rPr>
          <w:rFonts w:cs="Calibri"/>
          <w:szCs w:val="24"/>
          <w:lang w:val="nb-NO"/>
        </w:rPr>
        <w:t>te</w:t>
      </w:r>
      <w:r w:rsidRPr="00E575F3">
        <w:rPr>
          <w:rFonts w:cs="Calibri"/>
          <w:szCs w:val="24"/>
          <w:lang w:val="nb-NO"/>
        </w:rPr>
        <w:t xml:space="preserve"> gjeld altså </w:t>
      </w:r>
      <w:r w:rsidRPr="00E575F3">
        <w:rPr>
          <w:rFonts w:cs="Calibri"/>
          <w:szCs w:val="24"/>
          <w:lang w:val="nb-NO"/>
        </w:rPr>
        <w:t>rettar</w:t>
      </w:r>
      <w:r w:rsidRPr="00E575F3">
        <w:rPr>
          <w:rFonts w:cs="Calibri"/>
          <w:szCs w:val="24"/>
          <w:lang w:val="nb-NO"/>
        </w:rPr>
        <w:t xml:space="preserve"> som privatperson eller på vegne av private rettssubjekt (for å ivareta </w:t>
      </w:r>
      <w:r w:rsidRPr="00E575F3">
        <w:rPr>
          <w:rFonts w:cs="Calibri"/>
          <w:szCs w:val="24"/>
          <w:lang w:val="nb-NO"/>
        </w:rPr>
        <w:t>deira</w:t>
      </w:r>
      <w:r w:rsidRPr="00E575F3">
        <w:rPr>
          <w:rFonts w:cs="Calibri"/>
          <w:szCs w:val="24"/>
          <w:lang w:val="nb-NO"/>
        </w:rPr>
        <w:t xml:space="preserve"> private interesser), </w:t>
      </w:r>
      <w:r w:rsidRPr="00E575F3">
        <w:rPr>
          <w:rFonts w:cs="Calibri"/>
          <w:szCs w:val="24"/>
          <w:lang w:val="nb-NO"/>
        </w:rPr>
        <w:t>ikkje</w:t>
      </w:r>
      <w:r w:rsidRPr="00E575F3">
        <w:rPr>
          <w:rFonts w:cs="Calibri"/>
          <w:szCs w:val="24"/>
          <w:lang w:val="nb-NO"/>
        </w:rPr>
        <w:t xml:space="preserve"> </w:t>
      </w:r>
      <w:r w:rsidRPr="00E575F3">
        <w:rPr>
          <w:rFonts w:cs="Calibri"/>
          <w:szCs w:val="24"/>
          <w:lang w:val="nb-NO"/>
        </w:rPr>
        <w:t>rettar</w:t>
      </w:r>
      <w:r w:rsidRPr="00E575F3">
        <w:rPr>
          <w:rFonts w:cs="Calibri"/>
          <w:szCs w:val="24"/>
          <w:lang w:val="nb-NO"/>
        </w:rPr>
        <w:t xml:space="preserve"> som har sitt utspring i valte tillitsverv. </w:t>
      </w:r>
      <w:r w:rsidRPr="005B20DD">
        <w:rPr>
          <w:rFonts w:cs="Calibri"/>
          <w:szCs w:val="24"/>
        </w:rPr>
        <w:t xml:space="preserve">Av dette forstår ein at plan- og miljøutvalet </w:t>
      </w:r>
      <w:r w:rsidRPr="005B20DD">
        <w:rPr>
          <w:rFonts w:cs="Calibri"/>
          <w:szCs w:val="24"/>
        </w:rPr>
        <w:t>sitt vedtak om ugildskap ikkje er eit enkeltvedtak</w:t>
      </w:r>
      <w:r w:rsidRPr="005B20DD" w:rsidR="00003BE6">
        <w:rPr>
          <w:rFonts w:cs="Calibri"/>
          <w:szCs w:val="24"/>
        </w:rPr>
        <w:t xml:space="preserve"> som</w:t>
      </w:r>
      <w:r w:rsidRPr="005B20DD">
        <w:rPr>
          <w:rFonts w:cs="Calibri"/>
          <w:szCs w:val="24"/>
        </w:rPr>
        <w:t xml:space="preserve"> Irja Godal kan klage på. </w:t>
      </w:r>
    </w:p>
    <w:p w:rsidR="002F6C9F" w:rsidRPr="00270226" w:rsidP="002F6C9F" w14:paraId="140D51C7" w14:textId="645BE41A">
      <w:pPr>
        <w:rPr>
          <w:rFonts w:cs="Calibri"/>
          <w:szCs w:val="24"/>
        </w:rPr>
      </w:pPr>
      <w:r w:rsidRPr="00270226">
        <w:rPr>
          <w:rFonts w:cs="Calibri"/>
          <w:szCs w:val="24"/>
        </w:rPr>
        <w:t xml:space="preserve">   </w:t>
      </w:r>
    </w:p>
    <w:p w:rsidR="00003BE6" w:rsidRPr="00003BE6" w:rsidP="00003BE6" w14:paraId="171D5484" w14:textId="16FE8EFE">
      <w:pPr>
        <w:rPr>
          <w:rFonts w:cs="Calibri"/>
          <w:szCs w:val="24"/>
        </w:rPr>
      </w:pPr>
      <w:r w:rsidRPr="00270226">
        <w:rPr>
          <w:rFonts w:cs="Calibri"/>
          <w:szCs w:val="24"/>
        </w:rPr>
        <w:t>Det følg</w:t>
      </w:r>
      <w:r w:rsidRPr="00270226" w:rsidR="005B20DD">
        <w:rPr>
          <w:rFonts w:cs="Calibri"/>
          <w:szCs w:val="24"/>
        </w:rPr>
        <w:t>j</w:t>
      </w:r>
      <w:r w:rsidRPr="00270226">
        <w:rPr>
          <w:rFonts w:cs="Calibri"/>
          <w:szCs w:val="24"/>
        </w:rPr>
        <w:t>er av kommunelova § 11-10 at "</w:t>
      </w:r>
      <w:r w:rsidRPr="00270226">
        <w:rPr>
          <w:rFonts w:cs="Calibri"/>
          <w:i/>
          <w:iCs/>
          <w:szCs w:val="24"/>
        </w:rPr>
        <w:t>Bestemmelsene</w:t>
      </w:r>
      <w:r w:rsidRPr="00270226">
        <w:rPr>
          <w:rFonts w:cs="Calibri"/>
          <w:i/>
          <w:iCs/>
          <w:szCs w:val="24"/>
        </w:rPr>
        <w:t xml:space="preserve"> om inhabilitet i </w:t>
      </w:r>
      <w:r w:rsidRPr="00270226">
        <w:rPr>
          <w:rFonts w:cs="Calibri"/>
          <w:i/>
          <w:iCs/>
          <w:szCs w:val="24"/>
        </w:rPr>
        <w:t>forvaltningsloven</w:t>
      </w:r>
      <w:r w:rsidRPr="00270226">
        <w:rPr>
          <w:rFonts w:cs="Calibri"/>
          <w:i/>
          <w:iCs/>
          <w:szCs w:val="24"/>
        </w:rPr>
        <w:t xml:space="preserve"> kapittel II gjelder ved </w:t>
      </w:r>
      <w:r w:rsidRPr="00270226">
        <w:rPr>
          <w:rFonts w:cs="Calibri"/>
          <w:i/>
          <w:iCs/>
          <w:szCs w:val="24"/>
        </w:rPr>
        <w:t>behandlingen</w:t>
      </w:r>
      <w:r w:rsidRPr="00270226">
        <w:rPr>
          <w:rFonts w:cs="Calibri"/>
          <w:i/>
          <w:iCs/>
          <w:szCs w:val="24"/>
        </w:rPr>
        <w:t xml:space="preserve"> av saker i </w:t>
      </w:r>
      <w:r w:rsidRPr="00270226">
        <w:rPr>
          <w:rFonts w:cs="Calibri"/>
          <w:i/>
          <w:iCs/>
          <w:szCs w:val="24"/>
        </w:rPr>
        <w:t>folkevalgte</w:t>
      </w:r>
      <w:r w:rsidRPr="00270226">
        <w:rPr>
          <w:rFonts w:cs="Calibri"/>
          <w:i/>
          <w:iCs/>
          <w:szCs w:val="24"/>
        </w:rPr>
        <w:t xml:space="preserve"> </w:t>
      </w:r>
      <w:r w:rsidRPr="00270226">
        <w:rPr>
          <w:rFonts w:cs="Calibri"/>
          <w:i/>
          <w:iCs/>
          <w:szCs w:val="24"/>
        </w:rPr>
        <w:t>organer</w:t>
      </w:r>
      <w:r w:rsidRPr="00270226">
        <w:rPr>
          <w:rFonts w:cs="Calibri"/>
          <w:i/>
          <w:iCs/>
          <w:szCs w:val="24"/>
        </w:rPr>
        <w:t xml:space="preserve">". </w:t>
      </w:r>
      <w:r w:rsidRPr="00003BE6">
        <w:rPr>
          <w:rFonts w:cs="Calibri"/>
          <w:szCs w:val="24"/>
        </w:rPr>
        <w:t>Hov</w:t>
      </w:r>
      <w:r w:rsidRPr="005B20DD">
        <w:rPr>
          <w:rFonts w:cs="Calibri"/>
          <w:szCs w:val="24"/>
        </w:rPr>
        <w:t>u</w:t>
      </w:r>
      <w:r w:rsidRPr="00003BE6">
        <w:rPr>
          <w:rFonts w:cs="Calibri"/>
          <w:szCs w:val="24"/>
        </w:rPr>
        <w:t xml:space="preserve">dregelen om inhabilitet er </w:t>
      </w:r>
      <w:r w:rsidRPr="00003BE6" w:rsidR="005B20DD">
        <w:rPr>
          <w:rFonts w:cs="Calibri"/>
          <w:szCs w:val="24"/>
        </w:rPr>
        <w:t>forvaltningslova</w:t>
      </w:r>
      <w:r w:rsidRPr="00003BE6">
        <w:rPr>
          <w:rFonts w:cs="Calibri"/>
          <w:szCs w:val="24"/>
        </w:rPr>
        <w:t xml:space="preserve"> § 6. Dette er lov</w:t>
      </w:r>
      <w:r w:rsidR="005B20DD">
        <w:rPr>
          <w:rFonts w:cs="Calibri"/>
          <w:szCs w:val="24"/>
        </w:rPr>
        <w:t>a sin</w:t>
      </w:r>
      <w:r w:rsidRPr="00003BE6">
        <w:rPr>
          <w:rFonts w:cs="Calibri"/>
          <w:szCs w:val="24"/>
        </w:rPr>
        <w:t xml:space="preserve"> ordlyd (gul utheving er påført av </w:t>
      </w:r>
      <w:r w:rsidRPr="005B20DD">
        <w:rPr>
          <w:rFonts w:cs="Calibri"/>
          <w:szCs w:val="24"/>
        </w:rPr>
        <w:t>sakshandsamar)</w:t>
      </w:r>
      <w:r w:rsidRPr="00003BE6">
        <w:rPr>
          <w:rFonts w:cs="Calibri"/>
          <w:szCs w:val="24"/>
        </w:rPr>
        <w:t>:</w:t>
      </w:r>
    </w:p>
    <w:p w:rsidR="00003BE6" w:rsidRPr="00003BE6" w:rsidP="00003BE6" w14:paraId="43B2340D" w14:textId="5E173AF0">
      <w:pPr>
        <w:rPr>
          <w:rFonts w:cs="Calibri"/>
          <w:b/>
          <w:bCs/>
          <w:szCs w:val="24"/>
          <w:lang w:val="nb-NO"/>
        </w:rPr>
      </w:pPr>
      <w:r w:rsidRPr="00270226">
        <w:rPr>
          <w:rFonts w:cs="Calibri"/>
          <w:i/>
          <w:iCs/>
          <w:szCs w:val="24"/>
        </w:rPr>
        <w:t> </w:t>
      </w:r>
      <w:r w:rsidRPr="00003BE6">
        <w:rPr>
          <w:rFonts w:cs="Calibri"/>
          <w:b/>
          <w:bCs/>
          <w:i/>
          <w:iCs/>
          <w:szCs w:val="24"/>
          <w:lang w:val="nb-NO"/>
        </w:rPr>
        <w:t xml:space="preserve">"§ 6. (habilitetskrav). </w:t>
      </w:r>
    </w:p>
    <w:p w:rsidR="00003BE6" w:rsidRPr="00003BE6" w:rsidP="00003BE6" w14:paraId="2683BA14" w14:textId="77777777">
      <w:pPr>
        <w:rPr>
          <w:rFonts w:cs="Calibri"/>
          <w:szCs w:val="24"/>
          <w:lang w:val="nb-NO"/>
        </w:rPr>
      </w:pPr>
      <w:r w:rsidRPr="00003BE6">
        <w:rPr>
          <w:rFonts w:cs="Calibri"/>
          <w:i/>
          <w:iCs/>
          <w:szCs w:val="24"/>
          <w:lang w:val="nb-NO"/>
        </w:rPr>
        <w:t xml:space="preserve">En offentlig tjenestemann er ugild til å tilrettelegge grunnlaget for en avgjørelse eller til å treffe avgjørelse i en forvaltningssak </w:t>
      </w:r>
    </w:p>
    <w:p w:rsidR="00003BE6" w:rsidRPr="00003BE6" w:rsidP="00003BE6" w14:paraId="26866590" w14:textId="77777777">
      <w:pPr>
        <w:rPr>
          <w:rFonts w:cs="Calibri"/>
          <w:szCs w:val="24"/>
          <w:lang w:val="nb-NO"/>
        </w:rPr>
      </w:pPr>
      <w:r w:rsidRPr="00003BE6">
        <w:rPr>
          <w:rFonts w:cs="Calibri"/>
          <w:i/>
          <w:iCs/>
          <w:szCs w:val="24"/>
          <w:lang w:val="nb-NO"/>
        </w:rPr>
        <w:t>a) når han selv er part i saken;</w:t>
      </w:r>
    </w:p>
    <w:p w:rsidR="00003BE6" w:rsidRPr="00003BE6" w:rsidP="00003BE6" w14:paraId="0CF3060E" w14:textId="77777777">
      <w:pPr>
        <w:rPr>
          <w:rFonts w:cs="Calibri"/>
          <w:szCs w:val="24"/>
          <w:lang w:val="nb-NO"/>
        </w:rPr>
      </w:pPr>
      <w:r w:rsidRPr="00003BE6">
        <w:rPr>
          <w:rFonts w:cs="Calibri"/>
          <w:i/>
          <w:iCs/>
          <w:szCs w:val="24"/>
          <w:lang w:val="nb-NO"/>
        </w:rPr>
        <w:t xml:space="preserve">b) når han er i slekt eller svogerskap med en part i opp- eller nedstigende linje eller i sidelinje så nær som søsken ; </w:t>
      </w:r>
    </w:p>
    <w:p w:rsidR="00003BE6" w:rsidRPr="00003BE6" w:rsidP="00003BE6" w14:paraId="623BF82A" w14:textId="77777777">
      <w:pPr>
        <w:rPr>
          <w:rFonts w:cs="Calibri"/>
          <w:szCs w:val="24"/>
          <w:lang w:val="nb-NO"/>
        </w:rPr>
      </w:pPr>
      <w:r w:rsidRPr="00003BE6">
        <w:rPr>
          <w:rFonts w:cs="Calibri"/>
          <w:i/>
          <w:iCs/>
          <w:szCs w:val="24"/>
          <w:lang w:val="nb-NO"/>
        </w:rPr>
        <w:t>c) når han er eller har vært gift med eller er forlovet med eller er fosterfar, fostermor eller fosterbarn til en part;</w:t>
      </w:r>
    </w:p>
    <w:p w:rsidR="00003BE6" w:rsidRPr="00003BE6" w:rsidP="00003BE6" w14:paraId="31AC3C20" w14:textId="77777777">
      <w:pPr>
        <w:rPr>
          <w:rFonts w:cs="Calibri"/>
          <w:szCs w:val="24"/>
          <w:lang w:val="nb-NO"/>
        </w:rPr>
      </w:pPr>
      <w:r w:rsidRPr="00003BE6">
        <w:rPr>
          <w:rFonts w:cs="Calibri"/>
          <w:i/>
          <w:iCs/>
          <w:szCs w:val="24"/>
          <w:lang w:val="nb-NO"/>
        </w:rPr>
        <w:t xml:space="preserve">d) når han er verge eller fullmektig for en part i saken eller har vært verge eller fullmektig for en part etter at saken begynte; </w:t>
      </w:r>
    </w:p>
    <w:p w:rsidR="00003BE6" w:rsidRPr="00003BE6" w:rsidP="00003BE6" w14:paraId="378B5B70" w14:textId="77777777">
      <w:pPr>
        <w:rPr>
          <w:rFonts w:cs="Calibri"/>
          <w:szCs w:val="24"/>
          <w:lang w:val="nb-NO"/>
        </w:rPr>
      </w:pPr>
      <w:r w:rsidRPr="00003BE6">
        <w:rPr>
          <w:rFonts w:cs="Calibri"/>
          <w:i/>
          <w:iCs/>
          <w:szCs w:val="24"/>
          <w:lang w:val="nb-NO"/>
        </w:rPr>
        <w:t xml:space="preserve">e) når han </w:t>
      </w:r>
      <w:r w:rsidRPr="002E13AF">
        <w:rPr>
          <w:rFonts w:cs="Calibri"/>
          <w:i/>
          <w:iCs/>
          <w:szCs w:val="24"/>
          <w:highlight w:val="yellow"/>
          <w:lang w:val="nb-NO"/>
        </w:rPr>
        <w:t>leder eller har ledende stilling i</w:t>
      </w:r>
      <w:r w:rsidRPr="00003BE6">
        <w:rPr>
          <w:rFonts w:cs="Calibri"/>
          <w:i/>
          <w:iCs/>
          <w:szCs w:val="24"/>
          <w:lang w:val="nb-NO"/>
        </w:rPr>
        <w:t xml:space="preserve">, eller </w:t>
      </w:r>
      <w:r w:rsidRPr="002E13AF">
        <w:rPr>
          <w:rFonts w:cs="Calibri"/>
          <w:i/>
          <w:iCs/>
          <w:szCs w:val="24"/>
          <w:highlight w:val="yellow"/>
          <w:lang w:val="nb-NO"/>
        </w:rPr>
        <w:t>er medlem av styret eller bedriftsforsamling for</w:t>
      </w:r>
      <w:r w:rsidRPr="00003BE6">
        <w:rPr>
          <w:rFonts w:cs="Calibri"/>
          <w:i/>
          <w:iCs/>
          <w:szCs w:val="24"/>
          <w:lang w:val="nb-NO"/>
        </w:rPr>
        <w:t xml:space="preserve"> </w:t>
      </w:r>
    </w:p>
    <w:p w:rsidR="00003BE6" w:rsidRPr="00003BE6" w:rsidP="002E13AF" w14:paraId="783F99EC" w14:textId="77777777">
      <w:pPr>
        <w:ind w:left="708"/>
        <w:rPr>
          <w:rFonts w:cs="Calibri"/>
          <w:szCs w:val="24"/>
          <w:lang w:val="nb-NO"/>
        </w:rPr>
      </w:pPr>
      <w:r w:rsidRPr="00003BE6">
        <w:rPr>
          <w:rFonts w:cs="Calibri"/>
          <w:i/>
          <w:iCs/>
          <w:szCs w:val="24"/>
          <w:lang w:val="nb-NO"/>
        </w:rPr>
        <w:t xml:space="preserve">1. et samvirkeforetak, eller en forening, sparebank eller stiftelse som er part i saken, eller </w:t>
      </w:r>
    </w:p>
    <w:p w:rsidR="00003BE6" w:rsidRPr="00003BE6" w:rsidP="002E13AF" w14:paraId="3B00E274" w14:textId="77777777">
      <w:pPr>
        <w:ind w:left="708"/>
        <w:rPr>
          <w:rFonts w:cs="Calibri"/>
          <w:szCs w:val="24"/>
          <w:lang w:val="nb-NO"/>
        </w:rPr>
      </w:pPr>
      <w:r w:rsidRPr="00003BE6">
        <w:rPr>
          <w:rFonts w:cs="Calibri"/>
          <w:i/>
          <w:iCs/>
          <w:szCs w:val="24"/>
          <w:lang w:val="nb-NO"/>
        </w:rPr>
        <w:t xml:space="preserve">2. et selskap som er part i saken . Dette gjelder likevel ikke for person som utfører tjeneste eller arbeid for et selskap som er fullt ut offentlig eid og dette selskapet, alene eller sammen med andre tilsvarende selskaper eller det offentlige, fullt ut eier selskapet som er part i saken. </w:t>
      </w:r>
    </w:p>
    <w:p w:rsidR="00003BE6" w:rsidRPr="00003BE6" w:rsidP="00003BE6" w14:paraId="2BFC4F63" w14:textId="77777777">
      <w:pPr>
        <w:rPr>
          <w:rFonts w:cs="Calibri"/>
          <w:szCs w:val="24"/>
          <w:lang w:val="nb-NO"/>
        </w:rPr>
      </w:pPr>
      <w:r w:rsidRPr="00003BE6">
        <w:rPr>
          <w:rFonts w:cs="Calibri"/>
          <w:i/>
          <w:iCs/>
          <w:szCs w:val="24"/>
          <w:lang w:val="nb-NO"/>
        </w:rPr>
        <w:t xml:space="preserve">Likeså er han </w:t>
      </w:r>
      <w:r w:rsidRPr="002E13AF">
        <w:rPr>
          <w:rFonts w:cs="Calibri"/>
          <w:i/>
          <w:iCs/>
          <w:szCs w:val="24"/>
          <w:highlight w:val="yellow"/>
          <w:lang w:val="nb-NO"/>
        </w:rPr>
        <w:t>ugild når andre særegne forhold foreligger som er egnet til å svekke tilliten til hans upartiskhet</w:t>
      </w:r>
      <w:r w:rsidRPr="00003BE6">
        <w:rPr>
          <w:rFonts w:cs="Calibri"/>
          <w:i/>
          <w:iCs/>
          <w:szCs w:val="24"/>
          <w:lang w:val="nb-NO"/>
        </w:rPr>
        <w:t xml:space="preserve">; blant annet skal legges vekt på om avgjørelsen i saken kan </w:t>
      </w:r>
      <w:r w:rsidRPr="002E13AF">
        <w:rPr>
          <w:rFonts w:cs="Calibri"/>
          <w:i/>
          <w:iCs/>
          <w:szCs w:val="24"/>
          <w:highlight w:val="yellow"/>
          <w:lang w:val="nb-NO"/>
        </w:rPr>
        <w:t>innebære særlig fordel, tap eller ulempe for ham selv eller noen som han har nær personlig tilknytning til</w:t>
      </w:r>
      <w:r w:rsidRPr="00003BE6">
        <w:rPr>
          <w:rFonts w:cs="Calibri"/>
          <w:i/>
          <w:iCs/>
          <w:szCs w:val="24"/>
          <w:lang w:val="nb-NO"/>
        </w:rPr>
        <w:t xml:space="preserve">. Det skal også legges vekt på om ugildhetsinnsigelse er reist av en part. </w:t>
      </w:r>
    </w:p>
    <w:p w:rsidR="00003BE6" w:rsidRPr="00003BE6" w:rsidP="00003BE6" w14:paraId="097E5B3D" w14:textId="77777777">
      <w:pPr>
        <w:rPr>
          <w:rFonts w:cs="Calibri"/>
          <w:szCs w:val="24"/>
          <w:lang w:val="nb-NO"/>
        </w:rPr>
      </w:pPr>
      <w:r w:rsidRPr="00003BE6">
        <w:rPr>
          <w:rFonts w:cs="Calibri"/>
          <w:i/>
          <w:iCs/>
          <w:szCs w:val="24"/>
          <w:lang w:val="nb-NO"/>
        </w:rPr>
        <w:t>Er den overordnede tjenestemann ugild, kan avgjørelse i saken heller ikke treffes av en direkte underordnet tjenestemann i samme forvaltningsorgan.</w:t>
      </w:r>
    </w:p>
    <w:p w:rsidR="00003BE6" w:rsidRPr="00003BE6" w:rsidP="00003BE6" w14:paraId="4F7EF792" w14:textId="77777777">
      <w:pPr>
        <w:rPr>
          <w:rFonts w:cs="Calibri"/>
          <w:szCs w:val="24"/>
          <w:lang w:val="nb-NO"/>
        </w:rPr>
      </w:pPr>
      <w:r w:rsidRPr="00003BE6">
        <w:rPr>
          <w:rFonts w:cs="Calibri"/>
          <w:i/>
          <w:iCs/>
          <w:szCs w:val="24"/>
          <w:lang w:val="nb-NO"/>
        </w:rPr>
        <w:t xml:space="preserve">Ugildhetsreglene får ikke anvendelse dersom det er åpenbart at tjenestemannens tilknytning til saken eller partene ikke vil kunne påvirke hans standpunkt og verken offentlige eller private interesser tilsier at han viker sete. </w:t>
      </w:r>
    </w:p>
    <w:p w:rsidR="00003BE6" w:rsidRPr="00003BE6" w:rsidP="00003BE6" w14:paraId="54EC6FA8" w14:textId="77777777">
      <w:pPr>
        <w:rPr>
          <w:rFonts w:cs="Calibri"/>
          <w:szCs w:val="24"/>
          <w:lang w:val="nb-NO"/>
        </w:rPr>
      </w:pPr>
      <w:r w:rsidRPr="00003BE6">
        <w:rPr>
          <w:rFonts w:cs="Calibri"/>
          <w:i/>
          <w:iCs/>
          <w:szCs w:val="24"/>
          <w:lang w:val="nb-NO"/>
        </w:rPr>
        <w:t>Rekkevidden av annet og fjerde ledd kan fastlegges nærmere ved forskrifter som gis av Kongen."</w:t>
      </w:r>
    </w:p>
    <w:p w:rsidR="00003BE6" w:rsidRPr="00003BE6" w:rsidP="00003BE6" w14:paraId="0D847526" w14:textId="77777777">
      <w:pPr>
        <w:rPr>
          <w:rFonts w:cs="Calibri"/>
          <w:szCs w:val="24"/>
          <w:lang w:val="nb-NO"/>
        </w:rPr>
      </w:pPr>
      <w:r w:rsidRPr="00003BE6">
        <w:rPr>
          <w:rFonts w:cs="Calibri"/>
          <w:i/>
          <w:iCs/>
          <w:szCs w:val="24"/>
          <w:lang w:val="nb-NO"/>
        </w:rPr>
        <w:t> </w:t>
      </w:r>
    </w:p>
    <w:p w:rsidR="00003BE6" w:rsidRPr="00003BE6" w:rsidP="00003BE6" w14:paraId="2D8EE29C" w14:textId="629CEC53">
      <w:pPr>
        <w:rPr>
          <w:rFonts w:cs="Calibri"/>
          <w:szCs w:val="24"/>
        </w:rPr>
      </w:pPr>
      <w:r w:rsidRPr="00003BE6">
        <w:rPr>
          <w:rFonts w:cs="Calibri"/>
          <w:szCs w:val="24"/>
        </w:rPr>
        <w:t xml:space="preserve">Det er to </w:t>
      </w:r>
      <w:r w:rsidRPr="005B20DD" w:rsidR="005B20DD">
        <w:rPr>
          <w:rFonts w:cs="Calibri"/>
          <w:szCs w:val="24"/>
        </w:rPr>
        <w:t xml:space="preserve">tilhøve </w:t>
      </w:r>
      <w:r w:rsidRPr="00003BE6">
        <w:rPr>
          <w:rFonts w:cs="Calibri"/>
          <w:szCs w:val="24"/>
        </w:rPr>
        <w:t>som må vurder</w:t>
      </w:r>
      <w:r w:rsidRPr="005B20DD" w:rsidR="005B20DD">
        <w:rPr>
          <w:rFonts w:cs="Calibri"/>
          <w:szCs w:val="24"/>
        </w:rPr>
        <w:t>ast</w:t>
      </w:r>
      <w:r w:rsidRPr="00003BE6">
        <w:rPr>
          <w:rFonts w:cs="Calibri"/>
          <w:szCs w:val="24"/>
        </w:rPr>
        <w:t xml:space="preserve"> i </w:t>
      </w:r>
      <w:r w:rsidRPr="005B20DD" w:rsidR="005B20DD">
        <w:rPr>
          <w:rFonts w:cs="Calibri"/>
          <w:szCs w:val="24"/>
        </w:rPr>
        <w:t>høve</w:t>
      </w:r>
      <w:r w:rsidRPr="00003BE6">
        <w:rPr>
          <w:rFonts w:cs="Calibri"/>
          <w:szCs w:val="24"/>
        </w:rPr>
        <w:t xml:space="preserve"> til Irja</w:t>
      </w:r>
      <w:r w:rsidR="00E575F3">
        <w:rPr>
          <w:rFonts w:cs="Calibri"/>
          <w:szCs w:val="24"/>
        </w:rPr>
        <w:t xml:space="preserve"> Godal</w:t>
      </w:r>
      <w:r w:rsidRPr="00003BE6">
        <w:rPr>
          <w:rFonts w:cs="Calibri"/>
          <w:szCs w:val="24"/>
        </w:rPr>
        <w:t>:</w:t>
      </w:r>
    </w:p>
    <w:p w:rsidR="00E575F3" w:rsidP="00003BE6" w14:paraId="63EEBD01" w14:textId="43FEDF4A">
      <w:pPr>
        <w:rPr>
          <w:rFonts w:cs="Calibri"/>
          <w:szCs w:val="24"/>
        </w:rPr>
      </w:pPr>
      <w:r w:rsidRPr="00003BE6">
        <w:rPr>
          <w:rFonts w:cs="Calibri"/>
          <w:szCs w:val="24"/>
        </w:rPr>
        <w:t>Det første er om h</w:t>
      </w:r>
      <w:r w:rsidR="004D6A1A">
        <w:rPr>
          <w:rFonts w:cs="Calibri"/>
          <w:szCs w:val="24"/>
        </w:rPr>
        <w:t>o</w:t>
      </w:r>
      <w:r w:rsidRPr="00003BE6">
        <w:rPr>
          <w:rFonts w:cs="Calibri"/>
          <w:szCs w:val="24"/>
        </w:rPr>
        <w:t xml:space="preserve"> </w:t>
      </w:r>
      <w:r w:rsidRPr="00003BE6">
        <w:rPr>
          <w:rFonts w:cs="Calibri"/>
          <w:szCs w:val="24"/>
          <w:u w:val="single"/>
        </w:rPr>
        <w:t>er</w:t>
      </w:r>
      <w:r w:rsidRPr="00003BE6">
        <w:rPr>
          <w:rFonts w:cs="Calibri"/>
          <w:szCs w:val="24"/>
        </w:rPr>
        <w:t xml:space="preserve"> le</w:t>
      </w:r>
      <w:r>
        <w:rPr>
          <w:rFonts w:cs="Calibri"/>
          <w:szCs w:val="24"/>
        </w:rPr>
        <w:t>ia</w:t>
      </w:r>
      <w:r w:rsidRPr="00003BE6">
        <w:rPr>
          <w:rFonts w:cs="Calibri"/>
          <w:szCs w:val="24"/>
        </w:rPr>
        <w:t>r eller medlem av styret i</w:t>
      </w:r>
      <w:r>
        <w:rPr>
          <w:rFonts w:cs="Calibri"/>
          <w:szCs w:val="24"/>
        </w:rPr>
        <w:t xml:space="preserve"> lokallaget til</w:t>
      </w:r>
      <w:r w:rsidRPr="00003BE6">
        <w:rPr>
          <w:rFonts w:cs="Calibri"/>
          <w:szCs w:val="24"/>
        </w:rPr>
        <w:t xml:space="preserve"> Naturvernforbundet. Det er h</w:t>
      </w:r>
      <w:r w:rsidR="005B20DD">
        <w:rPr>
          <w:rFonts w:cs="Calibri"/>
          <w:szCs w:val="24"/>
        </w:rPr>
        <w:t>o</w:t>
      </w:r>
      <w:r w:rsidRPr="00003BE6">
        <w:rPr>
          <w:rFonts w:cs="Calibri"/>
          <w:szCs w:val="24"/>
        </w:rPr>
        <w:t xml:space="preserve"> ikk</w:t>
      </w:r>
      <w:r w:rsidR="005B20DD">
        <w:rPr>
          <w:rFonts w:cs="Calibri"/>
          <w:szCs w:val="24"/>
        </w:rPr>
        <w:t>j</w:t>
      </w:r>
      <w:r w:rsidRPr="00003BE6">
        <w:rPr>
          <w:rFonts w:cs="Calibri"/>
          <w:szCs w:val="24"/>
        </w:rPr>
        <w:t>e. Den automatiske inhabiliteten som i så fall følg</w:t>
      </w:r>
      <w:r>
        <w:rPr>
          <w:rFonts w:cs="Calibri"/>
          <w:szCs w:val="24"/>
        </w:rPr>
        <w:t>j</w:t>
      </w:r>
      <w:r w:rsidRPr="00003BE6">
        <w:rPr>
          <w:rFonts w:cs="Calibri"/>
          <w:szCs w:val="24"/>
        </w:rPr>
        <w:t xml:space="preserve">er av bokstav e vil </w:t>
      </w:r>
      <w:r w:rsidRPr="00003BE6">
        <w:rPr>
          <w:rFonts w:cs="Calibri"/>
          <w:szCs w:val="24"/>
          <w:u w:val="single"/>
        </w:rPr>
        <w:t>ikk</w:t>
      </w:r>
      <w:r w:rsidRPr="004D6A1A" w:rsidR="005B20DD">
        <w:rPr>
          <w:rFonts w:cs="Calibri"/>
          <w:szCs w:val="24"/>
          <w:u w:val="single"/>
        </w:rPr>
        <w:t>j</w:t>
      </w:r>
      <w:r w:rsidRPr="00003BE6">
        <w:rPr>
          <w:rFonts w:cs="Calibri"/>
          <w:szCs w:val="24"/>
          <w:u w:val="single"/>
        </w:rPr>
        <w:t>e</w:t>
      </w:r>
      <w:r w:rsidRPr="00003BE6">
        <w:rPr>
          <w:rFonts w:cs="Calibri"/>
          <w:szCs w:val="24"/>
        </w:rPr>
        <w:t xml:space="preserve"> ramme at h</w:t>
      </w:r>
      <w:r>
        <w:rPr>
          <w:rFonts w:cs="Calibri"/>
          <w:szCs w:val="24"/>
        </w:rPr>
        <w:t>o</w:t>
      </w:r>
      <w:r w:rsidRPr="00003BE6">
        <w:rPr>
          <w:rFonts w:cs="Calibri"/>
          <w:szCs w:val="24"/>
          <w:u w:val="single"/>
        </w:rPr>
        <w:t xml:space="preserve"> har v</w:t>
      </w:r>
      <w:r w:rsidR="005B20DD">
        <w:rPr>
          <w:rFonts w:cs="Calibri"/>
          <w:szCs w:val="24"/>
          <w:u w:val="single"/>
        </w:rPr>
        <w:t>ore</w:t>
      </w:r>
      <w:r w:rsidRPr="00003BE6">
        <w:rPr>
          <w:rFonts w:cs="Calibri"/>
          <w:szCs w:val="24"/>
          <w:u w:val="single"/>
        </w:rPr>
        <w:t xml:space="preserve"> </w:t>
      </w:r>
      <w:r w:rsidRPr="00003BE6">
        <w:rPr>
          <w:rFonts w:cs="Calibri"/>
          <w:szCs w:val="24"/>
        </w:rPr>
        <w:t>medlem av styret.</w:t>
      </w:r>
    </w:p>
    <w:p w:rsidR="00003BE6" w:rsidRPr="00003BE6" w:rsidP="00003BE6" w14:paraId="5D98502A" w14:textId="73502029">
      <w:pPr>
        <w:rPr>
          <w:rFonts w:cs="Calibri"/>
          <w:szCs w:val="24"/>
        </w:rPr>
      </w:pPr>
      <w:r w:rsidRPr="00003BE6">
        <w:rPr>
          <w:rFonts w:cs="Calibri"/>
          <w:szCs w:val="24"/>
        </w:rPr>
        <w:t xml:space="preserve"> </w:t>
      </w:r>
    </w:p>
    <w:p w:rsidR="002E2EC7" w:rsidP="00003BE6" w14:paraId="12ED1E21" w14:textId="0147CD01">
      <w:pPr>
        <w:rPr>
          <w:rFonts w:cs="Calibri"/>
          <w:szCs w:val="24"/>
        </w:rPr>
      </w:pPr>
      <w:r w:rsidRPr="00003BE6">
        <w:rPr>
          <w:rFonts w:cs="Calibri"/>
          <w:szCs w:val="24"/>
        </w:rPr>
        <w:t>Det andre er om det er andre sære</w:t>
      </w:r>
      <w:r w:rsidR="005B20DD">
        <w:rPr>
          <w:rFonts w:cs="Calibri"/>
          <w:szCs w:val="24"/>
        </w:rPr>
        <w:t>i</w:t>
      </w:r>
      <w:r w:rsidRPr="00003BE6">
        <w:rPr>
          <w:rFonts w:cs="Calibri"/>
          <w:szCs w:val="24"/>
        </w:rPr>
        <w:t>gne forhold som er e</w:t>
      </w:r>
      <w:r w:rsidR="005B20DD">
        <w:rPr>
          <w:rFonts w:cs="Calibri"/>
          <w:szCs w:val="24"/>
        </w:rPr>
        <w:t>i</w:t>
      </w:r>
      <w:r w:rsidRPr="00003BE6">
        <w:rPr>
          <w:rFonts w:cs="Calibri"/>
          <w:szCs w:val="24"/>
        </w:rPr>
        <w:t>gn</w:t>
      </w:r>
      <w:r w:rsidR="005B20DD">
        <w:rPr>
          <w:rFonts w:cs="Calibri"/>
          <w:szCs w:val="24"/>
        </w:rPr>
        <w:t>a</w:t>
      </w:r>
      <w:r w:rsidRPr="00003BE6">
        <w:rPr>
          <w:rFonts w:cs="Calibri"/>
          <w:szCs w:val="24"/>
        </w:rPr>
        <w:t xml:space="preserve"> til å svekke tilliten til henn</w:t>
      </w:r>
      <w:r w:rsidR="005B20DD">
        <w:rPr>
          <w:rFonts w:cs="Calibri"/>
          <w:szCs w:val="24"/>
        </w:rPr>
        <w:t>ar</w:t>
      </w:r>
      <w:r w:rsidRPr="00003BE6">
        <w:rPr>
          <w:rFonts w:cs="Calibri"/>
          <w:szCs w:val="24"/>
        </w:rPr>
        <w:t xml:space="preserve"> </w:t>
      </w:r>
      <w:r w:rsidRPr="00003BE6">
        <w:rPr>
          <w:rFonts w:cs="Calibri"/>
          <w:szCs w:val="24"/>
        </w:rPr>
        <w:t>upartiskhe</w:t>
      </w:r>
      <w:r w:rsidR="005B20DD">
        <w:rPr>
          <w:rFonts w:cs="Calibri"/>
          <w:szCs w:val="24"/>
        </w:rPr>
        <w:t>i</w:t>
      </w:r>
      <w:r w:rsidRPr="00003BE6">
        <w:rPr>
          <w:rFonts w:cs="Calibri"/>
          <w:szCs w:val="24"/>
        </w:rPr>
        <w:t>t</w:t>
      </w:r>
      <w:r w:rsidRPr="00003BE6">
        <w:rPr>
          <w:rFonts w:cs="Calibri"/>
          <w:szCs w:val="24"/>
        </w:rPr>
        <w:t xml:space="preserve">. At det er automatisk inhabilitet for styremedlemmer </w:t>
      </w:r>
      <w:r w:rsidR="005B20DD">
        <w:rPr>
          <w:rFonts w:cs="Calibri"/>
          <w:szCs w:val="24"/>
        </w:rPr>
        <w:t>berre</w:t>
      </w:r>
      <w:r w:rsidRPr="00003BE6">
        <w:rPr>
          <w:rFonts w:cs="Calibri"/>
          <w:szCs w:val="24"/>
        </w:rPr>
        <w:t xml:space="preserve"> når de</w:t>
      </w:r>
      <w:r w:rsidR="005B20DD">
        <w:rPr>
          <w:rFonts w:cs="Calibri"/>
          <w:szCs w:val="24"/>
        </w:rPr>
        <w:t>i</w:t>
      </w:r>
      <w:r w:rsidRPr="00003BE6">
        <w:rPr>
          <w:rFonts w:cs="Calibri"/>
          <w:szCs w:val="24"/>
        </w:rPr>
        <w:t xml:space="preserve"> sit i styret, </w:t>
      </w:r>
      <w:r w:rsidRPr="00003BE6" w:rsidR="005B20DD">
        <w:rPr>
          <w:rFonts w:cs="Calibri"/>
          <w:szCs w:val="24"/>
        </w:rPr>
        <w:t>tilseier</w:t>
      </w:r>
      <w:r w:rsidRPr="00003BE6">
        <w:rPr>
          <w:rFonts w:cs="Calibri"/>
          <w:szCs w:val="24"/>
        </w:rPr>
        <w:t xml:space="preserve"> at når de</w:t>
      </w:r>
      <w:r w:rsidR="005B20DD">
        <w:rPr>
          <w:rFonts w:cs="Calibri"/>
          <w:szCs w:val="24"/>
        </w:rPr>
        <w:t>i</w:t>
      </w:r>
      <w:r w:rsidRPr="00003BE6">
        <w:rPr>
          <w:rFonts w:cs="Calibri"/>
          <w:szCs w:val="24"/>
        </w:rPr>
        <w:t xml:space="preserve"> ikk</w:t>
      </w:r>
      <w:r w:rsidR="005B20DD">
        <w:rPr>
          <w:rFonts w:cs="Calibri"/>
          <w:szCs w:val="24"/>
        </w:rPr>
        <w:t>j</w:t>
      </w:r>
      <w:r w:rsidRPr="00003BE6">
        <w:rPr>
          <w:rFonts w:cs="Calibri"/>
          <w:szCs w:val="24"/>
        </w:rPr>
        <w:t>e lengre sit i styret, skal det svært my</w:t>
      </w:r>
      <w:r w:rsidR="005B20DD">
        <w:rPr>
          <w:rFonts w:cs="Calibri"/>
          <w:szCs w:val="24"/>
        </w:rPr>
        <w:t>kj</w:t>
      </w:r>
      <w:r w:rsidRPr="00003BE6">
        <w:rPr>
          <w:rFonts w:cs="Calibri"/>
          <w:szCs w:val="24"/>
        </w:rPr>
        <w:t>e til for at det å ha s</w:t>
      </w:r>
      <w:r w:rsidR="005B20DD">
        <w:rPr>
          <w:rFonts w:cs="Calibri"/>
          <w:szCs w:val="24"/>
        </w:rPr>
        <w:t>ete</w:t>
      </w:r>
      <w:r w:rsidRPr="00003BE6">
        <w:rPr>
          <w:rFonts w:cs="Calibri"/>
          <w:szCs w:val="24"/>
        </w:rPr>
        <w:t xml:space="preserve"> i e</w:t>
      </w:r>
      <w:r w:rsidR="005B20DD">
        <w:rPr>
          <w:rFonts w:cs="Calibri"/>
          <w:szCs w:val="24"/>
        </w:rPr>
        <w:t>i</w:t>
      </w:r>
      <w:r w:rsidRPr="00003BE6">
        <w:rPr>
          <w:rFonts w:cs="Calibri"/>
          <w:szCs w:val="24"/>
        </w:rPr>
        <w:t xml:space="preserve">t styre </w:t>
      </w:r>
      <w:r w:rsidRPr="00003BE6" w:rsidR="005B20DD">
        <w:rPr>
          <w:rFonts w:cs="Calibri"/>
          <w:szCs w:val="24"/>
        </w:rPr>
        <w:t>like</w:t>
      </w:r>
      <w:r w:rsidR="005B20DD">
        <w:rPr>
          <w:rFonts w:cs="Calibri"/>
          <w:szCs w:val="24"/>
        </w:rPr>
        <w:t>v</w:t>
      </w:r>
      <w:r w:rsidRPr="00003BE6" w:rsidR="005B20DD">
        <w:rPr>
          <w:rFonts w:cs="Calibri"/>
          <w:szCs w:val="24"/>
        </w:rPr>
        <w:t>el</w:t>
      </w:r>
      <w:r w:rsidRPr="00003BE6">
        <w:rPr>
          <w:rFonts w:cs="Calibri"/>
          <w:szCs w:val="24"/>
        </w:rPr>
        <w:t xml:space="preserve"> skulle føre til inhabilitet. D</w:t>
      </w:r>
      <w:r w:rsidR="004D6A1A">
        <w:rPr>
          <w:rFonts w:cs="Calibri"/>
          <w:szCs w:val="24"/>
        </w:rPr>
        <w:t>å</w:t>
      </w:r>
      <w:r w:rsidRPr="00003BE6">
        <w:rPr>
          <w:rFonts w:cs="Calibri"/>
          <w:szCs w:val="24"/>
        </w:rPr>
        <w:t xml:space="preserve"> må det i så fall v</w:t>
      </w:r>
      <w:r w:rsidR="005B20DD">
        <w:rPr>
          <w:rFonts w:cs="Calibri"/>
          <w:szCs w:val="24"/>
        </w:rPr>
        <w:t>e</w:t>
      </w:r>
      <w:r w:rsidRPr="00003BE6">
        <w:rPr>
          <w:rFonts w:cs="Calibri"/>
          <w:szCs w:val="24"/>
        </w:rPr>
        <w:t>re e</w:t>
      </w:r>
      <w:r w:rsidR="005B20DD">
        <w:rPr>
          <w:rFonts w:cs="Calibri"/>
          <w:szCs w:val="24"/>
        </w:rPr>
        <w:t>i</w:t>
      </w:r>
      <w:r w:rsidRPr="00003BE6">
        <w:rPr>
          <w:rFonts w:cs="Calibri"/>
          <w:szCs w:val="24"/>
        </w:rPr>
        <w:t>n så tett pågå</w:t>
      </w:r>
      <w:r w:rsidR="005B20DD">
        <w:rPr>
          <w:rFonts w:cs="Calibri"/>
          <w:szCs w:val="24"/>
        </w:rPr>
        <w:t>a</w:t>
      </w:r>
      <w:r w:rsidRPr="00003BE6">
        <w:rPr>
          <w:rFonts w:cs="Calibri"/>
          <w:szCs w:val="24"/>
        </w:rPr>
        <w:t>nde binding til dagens styre at det fører til svekk</w:t>
      </w:r>
      <w:r w:rsidR="005B20DD">
        <w:rPr>
          <w:rFonts w:cs="Calibri"/>
          <w:szCs w:val="24"/>
        </w:rPr>
        <w:t>a</w:t>
      </w:r>
      <w:r w:rsidRPr="00003BE6">
        <w:rPr>
          <w:rFonts w:cs="Calibri"/>
          <w:szCs w:val="24"/>
        </w:rPr>
        <w:t xml:space="preserve"> tillit. </w:t>
      </w:r>
      <w:r>
        <w:rPr>
          <w:rFonts w:cs="Calibri"/>
          <w:szCs w:val="24"/>
        </w:rPr>
        <w:t>Sjølv om det er nokså uvanleg at ei foreining er skråsikker på kva ein representant ville stemme i ei konkret sak, så er det</w:t>
      </w:r>
      <w:r w:rsidR="004D6A1A">
        <w:rPr>
          <w:rFonts w:cs="Calibri"/>
          <w:szCs w:val="24"/>
        </w:rPr>
        <w:t xml:space="preserve"> etter kommunedirektørens vurdering</w:t>
      </w:r>
      <w:r>
        <w:rPr>
          <w:rFonts w:cs="Calibri"/>
          <w:szCs w:val="24"/>
        </w:rPr>
        <w:t xml:space="preserve"> </w:t>
      </w:r>
      <w:r w:rsidRPr="00003BE6">
        <w:rPr>
          <w:rFonts w:cs="Calibri"/>
          <w:szCs w:val="24"/>
        </w:rPr>
        <w:t>ikk</w:t>
      </w:r>
      <w:r>
        <w:rPr>
          <w:rFonts w:cs="Calibri"/>
          <w:szCs w:val="24"/>
        </w:rPr>
        <w:t>j</w:t>
      </w:r>
      <w:r w:rsidRPr="00003BE6">
        <w:rPr>
          <w:rFonts w:cs="Calibri"/>
          <w:szCs w:val="24"/>
        </w:rPr>
        <w:t>e no</w:t>
      </w:r>
      <w:r>
        <w:rPr>
          <w:rFonts w:cs="Calibri"/>
          <w:szCs w:val="24"/>
        </w:rPr>
        <w:t>ko</w:t>
      </w:r>
      <w:r w:rsidRPr="00003BE6">
        <w:rPr>
          <w:rFonts w:cs="Calibri"/>
          <w:szCs w:val="24"/>
        </w:rPr>
        <w:t xml:space="preserve"> i sak</w:t>
      </w:r>
      <w:r>
        <w:rPr>
          <w:rFonts w:cs="Calibri"/>
          <w:szCs w:val="24"/>
        </w:rPr>
        <w:t>a</w:t>
      </w:r>
      <w:r w:rsidRPr="00003BE6">
        <w:rPr>
          <w:rFonts w:cs="Calibri"/>
          <w:szCs w:val="24"/>
        </w:rPr>
        <w:t xml:space="preserve"> som tils</w:t>
      </w:r>
      <w:r>
        <w:rPr>
          <w:rFonts w:cs="Calibri"/>
          <w:szCs w:val="24"/>
        </w:rPr>
        <w:t>e</w:t>
      </w:r>
      <w:r w:rsidRPr="00003BE6">
        <w:rPr>
          <w:rFonts w:cs="Calibri"/>
          <w:szCs w:val="24"/>
        </w:rPr>
        <w:t xml:space="preserve">ier </w:t>
      </w:r>
      <w:r>
        <w:rPr>
          <w:rFonts w:cs="Calibri"/>
          <w:szCs w:val="24"/>
        </w:rPr>
        <w:t>det</w:t>
      </w:r>
      <w:r w:rsidRPr="00003BE6">
        <w:rPr>
          <w:rFonts w:cs="Calibri"/>
          <w:szCs w:val="24"/>
        </w:rPr>
        <w:t xml:space="preserve">. </w:t>
      </w:r>
      <w:r>
        <w:rPr>
          <w:rFonts w:cs="Calibri"/>
          <w:szCs w:val="24"/>
        </w:rPr>
        <w:t xml:space="preserve">Representanten har trass alt frå første gongs handsaming av planen fremja forslag om stogge detaljreguleringa eller sterkt redusere tal hytter. Hennar grunnsyn knytt til stogg i hyttebygging, uansett om planforslag er heimla i overordna planvedtak i kommunestyret eller ei, er godt kjent i lokalpolitikken. </w:t>
      </w:r>
    </w:p>
    <w:p w:rsidR="004D6A1A" w:rsidP="00003BE6" w14:paraId="70D5DF62" w14:textId="77777777">
      <w:pPr>
        <w:rPr>
          <w:rFonts w:cs="Calibri"/>
          <w:szCs w:val="24"/>
        </w:rPr>
      </w:pPr>
      <w:r w:rsidRPr="00003BE6">
        <w:rPr>
          <w:rFonts w:cs="Calibri"/>
          <w:szCs w:val="24"/>
        </w:rPr>
        <w:t>At politik</w:t>
      </w:r>
      <w:r w:rsidR="002E2EC7">
        <w:rPr>
          <w:rFonts w:cs="Calibri"/>
          <w:szCs w:val="24"/>
        </w:rPr>
        <w:t>arar</w:t>
      </w:r>
      <w:r w:rsidRPr="00003BE6">
        <w:rPr>
          <w:rFonts w:cs="Calibri"/>
          <w:szCs w:val="24"/>
        </w:rPr>
        <w:t xml:space="preserve"> har kl</w:t>
      </w:r>
      <w:r w:rsidRPr="002E2EC7" w:rsidR="002E2EC7">
        <w:rPr>
          <w:rFonts w:cs="Calibri"/>
          <w:szCs w:val="24"/>
        </w:rPr>
        <w:t>å</w:t>
      </w:r>
      <w:r w:rsidRPr="00003BE6">
        <w:rPr>
          <w:rFonts w:cs="Calibri"/>
          <w:szCs w:val="24"/>
        </w:rPr>
        <w:t>re synspunkt om samfunnsmessige forhold, er ikk</w:t>
      </w:r>
      <w:r w:rsidRPr="002E2EC7" w:rsidR="002E2EC7">
        <w:rPr>
          <w:rFonts w:cs="Calibri"/>
          <w:szCs w:val="24"/>
        </w:rPr>
        <w:t>j</w:t>
      </w:r>
      <w:r w:rsidRPr="00003BE6">
        <w:rPr>
          <w:rFonts w:cs="Calibri"/>
          <w:szCs w:val="24"/>
        </w:rPr>
        <w:t>e no</w:t>
      </w:r>
      <w:r w:rsidRPr="002E2EC7" w:rsidR="002E2EC7">
        <w:rPr>
          <w:rFonts w:cs="Calibri"/>
          <w:szCs w:val="24"/>
        </w:rPr>
        <w:t>ko</w:t>
      </w:r>
      <w:r w:rsidRPr="00003BE6">
        <w:rPr>
          <w:rFonts w:cs="Calibri"/>
          <w:szCs w:val="24"/>
        </w:rPr>
        <w:t xml:space="preserve"> som</w:t>
      </w:r>
      <w:r w:rsidRPr="002E2EC7" w:rsidR="002E2EC7">
        <w:rPr>
          <w:rFonts w:cs="Calibri"/>
          <w:szCs w:val="24"/>
        </w:rPr>
        <w:t xml:space="preserve"> blir</w:t>
      </w:r>
      <w:r w:rsidRPr="00003BE6">
        <w:rPr>
          <w:rFonts w:cs="Calibri"/>
          <w:szCs w:val="24"/>
        </w:rPr>
        <w:t xml:space="preserve"> fang</w:t>
      </w:r>
      <w:r w:rsidRPr="002E2EC7" w:rsidR="002E2EC7">
        <w:rPr>
          <w:rFonts w:cs="Calibri"/>
          <w:szCs w:val="24"/>
        </w:rPr>
        <w:t>a</w:t>
      </w:r>
      <w:r w:rsidRPr="00003BE6">
        <w:rPr>
          <w:rFonts w:cs="Calibri"/>
          <w:szCs w:val="24"/>
        </w:rPr>
        <w:t xml:space="preserve"> opp av </w:t>
      </w:r>
      <w:r w:rsidRPr="00003BE6">
        <w:rPr>
          <w:rFonts w:cs="Calibri"/>
          <w:szCs w:val="24"/>
        </w:rPr>
        <w:t>bestemmelsen</w:t>
      </w:r>
      <w:r w:rsidRPr="00003BE6">
        <w:rPr>
          <w:rFonts w:cs="Calibri"/>
          <w:szCs w:val="24"/>
        </w:rPr>
        <w:t xml:space="preserve">. </w:t>
      </w:r>
    </w:p>
    <w:p w:rsidR="00003BE6" w:rsidP="00003BE6" w14:paraId="37483EC3" w14:textId="23C8FE70">
      <w:pPr>
        <w:rPr>
          <w:rFonts w:cs="Calibri"/>
          <w:szCs w:val="24"/>
        </w:rPr>
      </w:pPr>
      <w:r w:rsidRPr="00003BE6">
        <w:rPr>
          <w:rFonts w:cs="Calibri"/>
          <w:szCs w:val="24"/>
        </w:rPr>
        <w:t>Det ligg i he</w:t>
      </w:r>
      <w:r w:rsidR="002E2EC7">
        <w:rPr>
          <w:rFonts w:cs="Calibri"/>
          <w:szCs w:val="24"/>
        </w:rPr>
        <w:t>i</w:t>
      </w:r>
      <w:r w:rsidRPr="00003BE6">
        <w:rPr>
          <w:rFonts w:cs="Calibri"/>
          <w:szCs w:val="24"/>
        </w:rPr>
        <w:t>le politikkens natur, at e</w:t>
      </w:r>
      <w:r w:rsidR="002E2EC7">
        <w:rPr>
          <w:rFonts w:cs="Calibri"/>
          <w:szCs w:val="24"/>
        </w:rPr>
        <w:t>i</w:t>
      </w:r>
      <w:r w:rsidRPr="00003BE6">
        <w:rPr>
          <w:rFonts w:cs="Calibri"/>
          <w:szCs w:val="24"/>
        </w:rPr>
        <w:t>n politik</w:t>
      </w:r>
      <w:r w:rsidR="002E2EC7">
        <w:rPr>
          <w:rFonts w:cs="Calibri"/>
          <w:szCs w:val="24"/>
        </w:rPr>
        <w:t>a</w:t>
      </w:r>
      <w:r w:rsidRPr="00003BE6">
        <w:rPr>
          <w:rFonts w:cs="Calibri"/>
          <w:szCs w:val="24"/>
        </w:rPr>
        <w:t>r vil kjempe for de</w:t>
      </w:r>
      <w:r w:rsidR="002E2EC7">
        <w:rPr>
          <w:rFonts w:cs="Calibri"/>
          <w:szCs w:val="24"/>
        </w:rPr>
        <w:t>i</w:t>
      </w:r>
      <w:r w:rsidRPr="00003BE6">
        <w:rPr>
          <w:rFonts w:cs="Calibri"/>
          <w:szCs w:val="24"/>
        </w:rPr>
        <w:t xml:space="preserve"> synspunkt</w:t>
      </w:r>
      <w:r w:rsidR="002E2EC7">
        <w:rPr>
          <w:rFonts w:cs="Calibri"/>
          <w:szCs w:val="24"/>
        </w:rPr>
        <w:t>a</w:t>
      </w:r>
      <w:r w:rsidRPr="00003BE6">
        <w:rPr>
          <w:rFonts w:cs="Calibri"/>
          <w:szCs w:val="24"/>
        </w:rPr>
        <w:t xml:space="preserve"> </w:t>
      </w:r>
      <w:r w:rsidRPr="00003BE6" w:rsidR="002E2EC7">
        <w:rPr>
          <w:rFonts w:cs="Calibri"/>
          <w:szCs w:val="24"/>
        </w:rPr>
        <w:t>politikaren</w:t>
      </w:r>
      <w:r w:rsidRPr="00003BE6">
        <w:rPr>
          <w:rFonts w:cs="Calibri"/>
          <w:szCs w:val="24"/>
        </w:rPr>
        <w:t xml:space="preserve"> har sympati for. Det er typisk d</w:t>
      </w:r>
      <w:r w:rsidR="002E2EC7">
        <w:rPr>
          <w:rFonts w:cs="Calibri"/>
          <w:szCs w:val="24"/>
        </w:rPr>
        <w:t>i</w:t>
      </w:r>
      <w:r w:rsidRPr="00003BE6">
        <w:rPr>
          <w:rFonts w:cs="Calibri"/>
          <w:szCs w:val="24"/>
        </w:rPr>
        <w:t>for politik</w:t>
      </w:r>
      <w:r w:rsidR="002E2EC7">
        <w:rPr>
          <w:rFonts w:cs="Calibri"/>
          <w:szCs w:val="24"/>
        </w:rPr>
        <w:t>a</w:t>
      </w:r>
      <w:r w:rsidRPr="00003BE6">
        <w:rPr>
          <w:rFonts w:cs="Calibri"/>
          <w:szCs w:val="24"/>
        </w:rPr>
        <w:t xml:space="preserve">ren er valt. Det er </w:t>
      </w:r>
      <w:r w:rsidR="002E2EC7">
        <w:rPr>
          <w:rFonts w:cs="Calibri"/>
          <w:szCs w:val="24"/>
        </w:rPr>
        <w:t>berre</w:t>
      </w:r>
      <w:r w:rsidRPr="00003BE6">
        <w:rPr>
          <w:rFonts w:cs="Calibri"/>
          <w:szCs w:val="24"/>
        </w:rPr>
        <w:t xml:space="preserve"> dersom politik</w:t>
      </w:r>
      <w:r w:rsidR="002E2EC7">
        <w:rPr>
          <w:rFonts w:cs="Calibri"/>
          <w:szCs w:val="24"/>
        </w:rPr>
        <w:t>a</w:t>
      </w:r>
      <w:r w:rsidRPr="00003BE6">
        <w:rPr>
          <w:rFonts w:cs="Calibri"/>
          <w:szCs w:val="24"/>
        </w:rPr>
        <w:t xml:space="preserve">ren eller </w:t>
      </w:r>
      <w:r w:rsidR="002E2EC7">
        <w:rPr>
          <w:rFonts w:cs="Calibri"/>
          <w:szCs w:val="24"/>
        </w:rPr>
        <w:t>hans/hennar</w:t>
      </w:r>
      <w:r w:rsidRPr="00003BE6">
        <w:rPr>
          <w:rFonts w:cs="Calibri"/>
          <w:szCs w:val="24"/>
        </w:rPr>
        <w:t xml:space="preserve"> nærstå</w:t>
      </w:r>
      <w:r w:rsidR="002E2EC7">
        <w:rPr>
          <w:rFonts w:cs="Calibri"/>
          <w:szCs w:val="24"/>
        </w:rPr>
        <w:t>a</w:t>
      </w:r>
      <w:r w:rsidRPr="00003BE6">
        <w:rPr>
          <w:rFonts w:cs="Calibri"/>
          <w:szCs w:val="24"/>
        </w:rPr>
        <w:t>nde får klare fordeler/ulemper etc. av vedtaket at inhabilitet kan v</w:t>
      </w:r>
      <w:r w:rsidR="002E2EC7">
        <w:rPr>
          <w:rFonts w:cs="Calibri"/>
          <w:szCs w:val="24"/>
        </w:rPr>
        <w:t>e</w:t>
      </w:r>
      <w:r w:rsidRPr="00003BE6">
        <w:rPr>
          <w:rFonts w:cs="Calibri"/>
          <w:szCs w:val="24"/>
        </w:rPr>
        <w:t>re aktuelt. Det er heller ikk</w:t>
      </w:r>
      <w:r w:rsidR="002E2EC7">
        <w:rPr>
          <w:rFonts w:cs="Calibri"/>
          <w:szCs w:val="24"/>
        </w:rPr>
        <w:t>j</w:t>
      </w:r>
      <w:r w:rsidRPr="00003BE6">
        <w:rPr>
          <w:rFonts w:cs="Calibri"/>
          <w:szCs w:val="24"/>
        </w:rPr>
        <w:t>e no</w:t>
      </w:r>
      <w:r w:rsidR="002E2EC7">
        <w:rPr>
          <w:rFonts w:cs="Calibri"/>
          <w:szCs w:val="24"/>
        </w:rPr>
        <w:t>ko</w:t>
      </w:r>
      <w:r w:rsidRPr="00003BE6">
        <w:rPr>
          <w:rFonts w:cs="Calibri"/>
          <w:szCs w:val="24"/>
        </w:rPr>
        <w:t xml:space="preserve"> i sak</w:t>
      </w:r>
      <w:r w:rsidR="002E2EC7">
        <w:rPr>
          <w:rFonts w:cs="Calibri"/>
          <w:szCs w:val="24"/>
        </w:rPr>
        <w:t>a</w:t>
      </w:r>
      <w:r w:rsidRPr="00003BE6">
        <w:rPr>
          <w:rFonts w:cs="Calibri"/>
          <w:szCs w:val="24"/>
        </w:rPr>
        <w:t xml:space="preserve"> som tils</w:t>
      </w:r>
      <w:r w:rsidR="002E2EC7">
        <w:rPr>
          <w:rFonts w:cs="Calibri"/>
          <w:szCs w:val="24"/>
        </w:rPr>
        <w:t>e</w:t>
      </w:r>
      <w:r w:rsidRPr="00003BE6">
        <w:rPr>
          <w:rFonts w:cs="Calibri"/>
          <w:szCs w:val="24"/>
        </w:rPr>
        <w:t>ier at Irja eller henn</w:t>
      </w:r>
      <w:r w:rsidR="002E2EC7">
        <w:rPr>
          <w:rFonts w:cs="Calibri"/>
          <w:szCs w:val="24"/>
        </w:rPr>
        <w:t>ar</w:t>
      </w:r>
      <w:r w:rsidRPr="00003BE6">
        <w:rPr>
          <w:rFonts w:cs="Calibri"/>
          <w:szCs w:val="24"/>
        </w:rPr>
        <w:t xml:space="preserve"> nærstå</w:t>
      </w:r>
      <w:r w:rsidR="002E2EC7">
        <w:rPr>
          <w:rFonts w:cs="Calibri"/>
          <w:szCs w:val="24"/>
        </w:rPr>
        <w:t>a</w:t>
      </w:r>
      <w:r w:rsidRPr="00003BE6">
        <w:rPr>
          <w:rFonts w:cs="Calibri"/>
          <w:szCs w:val="24"/>
        </w:rPr>
        <w:t>nde får direkte fordeler/ulemper av klagevedtaket. Henn</w:t>
      </w:r>
      <w:r w:rsidR="002E2EC7">
        <w:rPr>
          <w:rFonts w:cs="Calibri"/>
          <w:szCs w:val="24"/>
        </w:rPr>
        <w:t>ar</w:t>
      </w:r>
      <w:r w:rsidRPr="00003BE6">
        <w:rPr>
          <w:rFonts w:cs="Calibri"/>
          <w:szCs w:val="24"/>
        </w:rPr>
        <w:t xml:space="preserve"> engasjement er på det samfunnsnivå for å ivareta samfunnsinteresser hun er valt for. </w:t>
      </w:r>
      <w:r w:rsidR="002E2EC7">
        <w:rPr>
          <w:rFonts w:cs="Calibri"/>
          <w:szCs w:val="24"/>
        </w:rPr>
        <w:t>Kommunedirektøren</w:t>
      </w:r>
      <w:r w:rsidRPr="00003BE6">
        <w:rPr>
          <w:rFonts w:cs="Calibri"/>
          <w:szCs w:val="24"/>
        </w:rPr>
        <w:t xml:space="preserve"> kan d</w:t>
      </w:r>
      <w:r w:rsidR="002E2EC7">
        <w:rPr>
          <w:rFonts w:cs="Calibri"/>
          <w:szCs w:val="24"/>
        </w:rPr>
        <w:t>i</w:t>
      </w:r>
      <w:r w:rsidRPr="00003BE6">
        <w:rPr>
          <w:rFonts w:cs="Calibri"/>
          <w:szCs w:val="24"/>
        </w:rPr>
        <w:t>for ikk</w:t>
      </w:r>
      <w:r w:rsidR="002E2EC7">
        <w:rPr>
          <w:rFonts w:cs="Calibri"/>
          <w:szCs w:val="24"/>
        </w:rPr>
        <w:t>j</w:t>
      </w:r>
      <w:r w:rsidRPr="00003BE6">
        <w:rPr>
          <w:rFonts w:cs="Calibri"/>
          <w:szCs w:val="24"/>
        </w:rPr>
        <w:t>e s</w:t>
      </w:r>
      <w:r w:rsidR="002E2EC7">
        <w:rPr>
          <w:rFonts w:cs="Calibri"/>
          <w:szCs w:val="24"/>
        </w:rPr>
        <w:t>jå</w:t>
      </w:r>
      <w:r w:rsidRPr="00003BE6">
        <w:rPr>
          <w:rFonts w:cs="Calibri"/>
          <w:szCs w:val="24"/>
        </w:rPr>
        <w:t xml:space="preserve"> at h</w:t>
      </w:r>
      <w:r w:rsidR="002E2EC7">
        <w:rPr>
          <w:rFonts w:cs="Calibri"/>
          <w:szCs w:val="24"/>
        </w:rPr>
        <w:t>o</w:t>
      </w:r>
      <w:r w:rsidRPr="00003BE6">
        <w:rPr>
          <w:rFonts w:cs="Calibri"/>
          <w:szCs w:val="24"/>
        </w:rPr>
        <w:t xml:space="preserve"> er </w:t>
      </w:r>
      <w:r w:rsidR="002E2EC7">
        <w:rPr>
          <w:rFonts w:cs="Calibri"/>
          <w:szCs w:val="24"/>
        </w:rPr>
        <w:t xml:space="preserve">ugild i saka om </w:t>
      </w:r>
      <w:r w:rsidR="002E2EC7">
        <w:rPr>
          <w:rFonts w:cs="Calibri"/>
          <w:szCs w:val="24"/>
        </w:rPr>
        <w:t>Flåmyrane</w:t>
      </w:r>
      <w:r w:rsidRPr="00003BE6">
        <w:rPr>
          <w:rFonts w:cs="Calibri"/>
          <w:szCs w:val="24"/>
        </w:rPr>
        <w:t>.</w:t>
      </w:r>
    </w:p>
    <w:p w:rsidR="00884AF3" w:rsidP="00003BE6" w14:paraId="30F17AD8" w14:textId="77777777">
      <w:pPr>
        <w:rPr>
          <w:rFonts w:cs="Calibri"/>
          <w:szCs w:val="24"/>
        </w:rPr>
      </w:pPr>
    </w:p>
    <w:p w:rsidR="00180F5B" w:rsidRPr="00180F5B" w:rsidP="004776A4" w14:paraId="43E9E312" w14:textId="73FEC38D">
      <w:pPr>
        <w:rPr>
          <w:rFonts w:cs="Calibri"/>
          <w:color w:val="FF0000"/>
          <w:szCs w:val="24"/>
        </w:rPr>
      </w:pPr>
      <w:r w:rsidRPr="00180F5B">
        <w:rPr>
          <w:rFonts w:cs="Calibri"/>
          <w:szCs w:val="24"/>
        </w:rPr>
        <w:t>Ved vurdering av inhabilitet etter forvaltningslov</w:t>
      </w:r>
      <w:r>
        <w:rPr>
          <w:rFonts w:cs="Calibri"/>
          <w:szCs w:val="24"/>
        </w:rPr>
        <w:t>a</w:t>
      </w:r>
      <w:r w:rsidRPr="00180F5B">
        <w:rPr>
          <w:rFonts w:cs="Calibri"/>
          <w:szCs w:val="24"/>
        </w:rPr>
        <w:t xml:space="preserve"> § 6, skal det legg</w:t>
      </w:r>
      <w:r>
        <w:rPr>
          <w:rFonts w:cs="Calibri"/>
          <w:szCs w:val="24"/>
        </w:rPr>
        <w:t>ast</w:t>
      </w:r>
      <w:r w:rsidRPr="00180F5B">
        <w:rPr>
          <w:rFonts w:cs="Calibri"/>
          <w:szCs w:val="24"/>
        </w:rPr>
        <w:t xml:space="preserve"> vekt på om spørsmålet er reist av e</w:t>
      </w:r>
      <w:r>
        <w:rPr>
          <w:rFonts w:cs="Calibri"/>
          <w:szCs w:val="24"/>
        </w:rPr>
        <w:t>i</w:t>
      </w:r>
      <w:r w:rsidRPr="00180F5B">
        <w:rPr>
          <w:rFonts w:cs="Calibri"/>
          <w:szCs w:val="24"/>
        </w:rPr>
        <w:t>n part i sak</w:t>
      </w:r>
      <w:r>
        <w:rPr>
          <w:rFonts w:cs="Calibri"/>
          <w:szCs w:val="24"/>
        </w:rPr>
        <w:t>a</w:t>
      </w:r>
      <w:r w:rsidRPr="00180F5B">
        <w:rPr>
          <w:rFonts w:cs="Calibri"/>
          <w:szCs w:val="24"/>
        </w:rPr>
        <w:t>.</w:t>
      </w:r>
      <w:r>
        <w:rPr>
          <w:rFonts w:cs="Calibri"/>
          <w:szCs w:val="24"/>
        </w:rPr>
        <w:t xml:space="preserve"> Det er ikkje opplyst kven som kontakta utvalsleiar</w:t>
      </w:r>
      <w:r w:rsidR="00270226">
        <w:rPr>
          <w:rFonts w:cs="Calibri"/>
          <w:szCs w:val="24"/>
        </w:rPr>
        <w:t>, og då let ikkje dette seg realitetsvurdere.</w:t>
      </w:r>
      <w:r w:rsidR="004776A4">
        <w:rPr>
          <w:rFonts w:cs="Calibri"/>
          <w:szCs w:val="24"/>
        </w:rPr>
        <w:t xml:space="preserve"> </w:t>
      </w:r>
    </w:p>
    <w:p w:rsidR="00180F5B" w:rsidRPr="00003BE6" w:rsidP="00003BE6" w14:paraId="62ADE2FD" w14:textId="77777777">
      <w:pPr>
        <w:rPr>
          <w:rFonts w:cs="Calibri"/>
          <w:szCs w:val="24"/>
        </w:rPr>
      </w:pPr>
    </w:p>
    <w:p w:rsidR="00003BE6" w:rsidRPr="00003BE6" w:rsidP="00003BE6" w14:paraId="38DC0E66" w14:textId="00672909">
      <w:pPr>
        <w:rPr>
          <w:rFonts w:cs="Calibri"/>
          <w:szCs w:val="24"/>
        </w:rPr>
      </w:pPr>
      <w:r w:rsidRPr="00641833">
        <w:rPr>
          <w:rFonts w:cs="Calibri"/>
          <w:szCs w:val="24"/>
        </w:rPr>
        <w:t xml:space="preserve">Vidare er kommunedirektøren òg </w:t>
      </w:r>
      <w:r w:rsidRPr="00003BE6">
        <w:rPr>
          <w:rFonts w:cs="Calibri"/>
          <w:szCs w:val="24"/>
        </w:rPr>
        <w:t>tilbøyel</w:t>
      </w:r>
      <w:r w:rsidRPr="00641833">
        <w:rPr>
          <w:rFonts w:cs="Calibri"/>
          <w:szCs w:val="24"/>
        </w:rPr>
        <w:t>e</w:t>
      </w:r>
      <w:r w:rsidRPr="00003BE6">
        <w:rPr>
          <w:rFonts w:cs="Calibri"/>
          <w:szCs w:val="24"/>
        </w:rPr>
        <w:t>g til å v</w:t>
      </w:r>
      <w:r w:rsidRPr="00641833">
        <w:rPr>
          <w:rFonts w:cs="Calibri"/>
          <w:szCs w:val="24"/>
        </w:rPr>
        <w:t>e</w:t>
      </w:r>
      <w:r w:rsidRPr="00003BE6">
        <w:rPr>
          <w:rFonts w:cs="Calibri"/>
          <w:szCs w:val="24"/>
        </w:rPr>
        <w:t xml:space="preserve">re </w:t>
      </w:r>
      <w:r w:rsidRPr="00641833">
        <w:rPr>
          <w:rFonts w:cs="Calibri"/>
          <w:szCs w:val="24"/>
        </w:rPr>
        <w:t xml:space="preserve">samd </w:t>
      </w:r>
      <w:r>
        <w:rPr>
          <w:rFonts w:cs="Calibri"/>
          <w:szCs w:val="24"/>
        </w:rPr>
        <w:t>med Godal</w:t>
      </w:r>
      <w:r w:rsidRPr="00003BE6">
        <w:rPr>
          <w:rFonts w:cs="Calibri"/>
          <w:szCs w:val="24"/>
        </w:rPr>
        <w:t xml:space="preserve"> i at det er uheldig at spørsmålet om inhabilitet </w:t>
      </w:r>
      <w:r w:rsidRPr="00003BE6">
        <w:rPr>
          <w:rFonts w:cs="Calibri"/>
          <w:szCs w:val="24"/>
        </w:rPr>
        <w:t>ikkje</w:t>
      </w:r>
      <w:r w:rsidRPr="00003BE6">
        <w:rPr>
          <w:rFonts w:cs="Calibri"/>
          <w:szCs w:val="24"/>
        </w:rPr>
        <w:t xml:space="preserve"> ble</w:t>
      </w:r>
      <w:r>
        <w:rPr>
          <w:rFonts w:cs="Calibri"/>
          <w:szCs w:val="24"/>
        </w:rPr>
        <w:t>i</w:t>
      </w:r>
      <w:r w:rsidRPr="00003BE6">
        <w:rPr>
          <w:rFonts w:cs="Calibri"/>
          <w:szCs w:val="24"/>
        </w:rPr>
        <w:t xml:space="preserve"> tatt opp såpass tidl</w:t>
      </w:r>
      <w:r>
        <w:rPr>
          <w:rFonts w:cs="Calibri"/>
          <w:szCs w:val="24"/>
        </w:rPr>
        <w:t>e</w:t>
      </w:r>
      <w:r w:rsidRPr="00003BE6">
        <w:rPr>
          <w:rFonts w:cs="Calibri"/>
          <w:szCs w:val="24"/>
        </w:rPr>
        <w:t xml:space="preserve">g at </w:t>
      </w:r>
      <w:r>
        <w:rPr>
          <w:rFonts w:cs="Calibri"/>
          <w:szCs w:val="24"/>
        </w:rPr>
        <w:t>bygdelista</w:t>
      </w:r>
      <w:r w:rsidRPr="00003BE6">
        <w:rPr>
          <w:rFonts w:cs="Calibri"/>
          <w:szCs w:val="24"/>
        </w:rPr>
        <w:t xml:space="preserve"> kunne stille med vara. Det kan syn</w:t>
      </w:r>
      <w:r w:rsidRPr="00641833">
        <w:rPr>
          <w:rFonts w:cs="Calibri"/>
          <w:szCs w:val="24"/>
        </w:rPr>
        <w:t>ast</w:t>
      </w:r>
      <w:r w:rsidRPr="00003BE6">
        <w:rPr>
          <w:rFonts w:cs="Calibri"/>
          <w:szCs w:val="24"/>
        </w:rPr>
        <w:t xml:space="preserve"> som h</w:t>
      </w:r>
      <w:r w:rsidRPr="00641833">
        <w:rPr>
          <w:rFonts w:cs="Calibri"/>
          <w:szCs w:val="24"/>
        </w:rPr>
        <w:t>a</w:t>
      </w:r>
      <w:r w:rsidRPr="00003BE6">
        <w:rPr>
          <w:rFonts w:cs="Calibri"/>
          <w:szCs w:val="24"/>
        </w:rPr>
        <w:t>ndtering</w:t>
      </w:r>
      <w:r w:rsidRPr="00641833">
        <w:rPr>
          <w:rFonts w:cs="Calibri"/>
          <w:szCs w:val="24"/>
        </w:rPr>
        <w:t>a</w:t>
      </w:r>
      <w:r w:rsidRPr="00003BE6">
        <w:rPr>
          <w:rFonts w:cs="Calibri"/>
          <w:szCs w:val="24"/>
        </w:rPr>
        <w:t xml:space="preserve"> bryt med forvaltningslov</w:t>
      </w:r>
      <w:r w:rsidRPr="00641833">
        <w:rPr>
          <w:rFonts w:cs="Calibri"/>
          <w:szCs w:val="24"/>
        </w:rPr>
        <w:t>a</w:t>
      </w:r>
      <w:r w:rsidRPr="00003BE6">
        <w:rPr>
          <w:rFonts w:cs="Calibri"/>
          <w:szCs w:val="24"/>
        </w:rPr>
        <w:t xml:space="preserve"> § 8 siste ledd. Den har følg</w:t>
      </w:r>
      <w:r w:rsidRPr="00641833">
        <w:rPr>
          <w:rFonts w:cs="Calibri"/>
          <w:szCs w:val="24"/>
        </w:rPr>
        <w:t>ja</w:t>
      </w:r>
      <w:r w:rsidRPr="00003BE6">
        <w:rPr>
          <w:rFonts w:cs="Calibri"/>
          <w:szCs w:val="24"/>
        </w:rPr>
        <w:t>nde ordlyd:</w:t>
      </w:r>
    </w:p>
    <w:p w:rsidR="00003BE6" w:rsidRPr="00003BE6" w:rsidP="00003BE6" w14:paraId="2E513DB6" w14:textId="12265093">
      <w:pPr>
        <w:rPr>
          <w:rFonts w:cs="Calibri"/>
          <w:szCs w:val="24"/>
          <w:lang w:val="nb-NO"/>
        </w:rPr>
      </w:pPr>
      <w:r w:rsidRPr="00003BE6">
        <w:rPr>
          <w:rFonts w:cs="Calibri"/>
          <w:i/>
          <w:iCs/>
          <w:szCs w:val="24"/>
        </w:rPr>
        <w:t xml:space="preserve"> "Medlem skal i god tid si </w:t>
      </w:r>
      <w:r w:rsidRPr="00003BE6">
        <w:rPr>
          <w:rFonts w:cs="Calibri"/>
          <w:i/>
          <w:iCs/>
          <w:szCs w:val="24"/>
        </w:rPr>
        <w:t>fra</w:t>
      </w:r>
      <w:r w:rsidRPr="00003BE6">
        <w:rPr>
          <w:rFonts w:cs="Calibri"/>
          <w:i/>
          <w:iCs/>
          <w:szCs w:val="24"/>
        </w:rPr>
        <w:t xml:space="preserve"> om forhold som </w:t>
      </w:r>
      <w:r w:rsidRPr="00003BE6">
        <w:rPr>
          <w:rFonts w:cs="Calibri"/>
          <w:i/>
          <w:iCs/>
          <w:szCs w:val="24"/>
        </w:rPr>
        <w:t>gjør</w:t>
      </w:r>
      <w:r w:rsidRPr="00003BE6">
        <w:rPr>
          <w:rFonts w:cs="Calibri"/>
          <w:i/>
          <w:iCs/>
          <w:szCs w:val="24"/>
        </w:rPr>
        <w:t xml:space="preserve"> eller kan </w:t>
      </w:r>
      <w:r w:rsidRPr="00003BE6">
        <w:rPr>
          <w:rFonts w:cs="Calibri"/>
          <w:i/>
          <w:iCs/>
          <w:szCs w:val="24"/>
        </w:rPr>
        <w:t>gjøre</w:t>
      </w:r>
      <w:r w:rsidRPr="00003BE6">
        <w:rPr>
          <w:rFonts w:cs="Calibri"/>
          <w:i/>
          <w:iCs/>
          <w:szCs w:val="24"/>
        </w:rPr>
        <w:t xml:space="preserve"> ham ugild.  </w:t>
      </w:r>
      <w:r w:rsidRPr="00003BE6">
        <w:rPr>
          <w:rFonts w:cs="Calibri"/>
          <w:i/>
          <w:iCs/>
          <w:szCs w:val="24"/>
          <w:lang w:val="nb-NO"/>
        </w:rPr>
        <w:t>Før spørsmålet avgjøres, bør varamann eller annen stedfortreder innkalles til å møte og delta ved avgjørelsen dersom det kan gjøres uten vesentlig tidsspille eller kostnad. "</w:t>
      </w:r>
    </w:p>
    <w:p w:rsidR="00003BE6" w:rsidRPr="00003BE6" w:rsidP="00003BE6" w14:paraId="7DB93014" w14:textId="77777777">
      <w:pPr>
        <w:rPr>
          <w:rFonts w:cs="Calibri"/>
          <w:szCs w:val="24"/>
          <w:lang w:val="nb-NO"/>
        </w:rPr>
      </w:pPr>
      <w:r w:rsidRPr="00003BE6">
        <w:rPr>
          <w:rFonts w:cs="Calibri"/>
          <w:szCs w:val="24"/>
          <w:lang w:val="nb-NO"/>
        </w:rPr>
        <w:t> </w:t>
      </w:r>
    </w:p>
    <w:p w:rsidR="00003BE6" w:rsidRPr="00003BE6" w:rsidP="00003BE6" w14:paraId="44765B9D" w14:textId="77777777">
      <w:pPr>
        <w:rPr>
          <w:rFonts w:cs="Calibri"/>
          <w:szCs w:val="24"/>
          <w:lang w:val="nb-NO"/>
        </w:rPr>
      </w:pPr>
      <w:r w:rsidRPr="00003BE6">
        <w:rPr>
          <w:rFonts w:cs="Calibri"/>
          <w:szCs w:val="24"/>
          <w:lang w:val="nb-NO"/>
        </w:rPr>
        <w:t>I lovkommentaren i Rettsdata til denne bestemmelsen står det at:</w:t>
      </w:r>
    </w:p>
    <w:p w:rsidR="00003BE6" w:rsidRPr="00003BE6" w:rsidP="00003BE6" w14:paraId="0BA562B1" w14:textId="77777777">
      <w:pPr>
        <w:rPr>
          <w:rFonts w:cs="Calibri"/>
          <w:szCs w:val="24"/>
          <w:lang w:val="nb-NO"/>
        </w:rPr>
      </w:pPr>
      <w:r w:rsidRPr="00003BE6">
        <w:rPr>
          <w:rFonts w:cs="Calibri"/>
          <w:i/>
          <w:iCs/>
          <w:szCs w:val="24"/>
          <w:lang w:val="nb-NO"/>
        </w:rPr>
        <w:t xml:space="preserve">"Beskjed i «god tid» vil gi et </w:t>
      </w:r>
      <w:r w:rsidRPr="00003BE6">
        <w:rPr>
          <w:rFonts w:cs="Calibri"/>
          <w:i/>
          <w:iCs/>
          <w:szCs w:val="24"/>
          <w:u w:val="single"/>
          <w:lang w:val="nb-NO"/>
        </w:rPr>
        <w:t>grunnlag for at spørsmålet blir tatt opp til vurdering i forkant av møtet og gjøre det mulig å innkalle varamedlemmer til å møte og delta ved avgjørelsen av inhabilitetsspørsmålet, og eventuelt tiltre ved realitetsbehandlingen</w:t>
      </w:r>
      <w:r w:rsidRPr="00003BE6">
        <w:rPr>
          <w:rFonts w:cs="Calibri"/>
          <w:i/>
          <w:iCs/>
          <w:szCs w:val="24"/>
          <w:lang w:val="nb-NO"/>
        </w:rPr>
        <w:t xml:space="preserve"> hvis det legges til grunn at det foreligger inhabilitet. </w:t>
      </w:r>
      <w:r w:rsidRPr="00003BE6">
        <w:rPr>
          <w:rFonts w:cs="Calibri"/>
          <w:i/>
          <w:iCs/>
          <w:szCs w:val="24"/>
          <w:u w:val="single"/>
          <w:lang w:val="nb-NO"/>
        </w:rPr>
        <w:t xml:space="preserve">Også den som vil reise inhabilitetsinnsigelse mot et annet medlem, </w:t>
      </w:r>
      <w:r w:rsidRPr="00003BE6">
        <w:rPr>
          <w:rFonts w:cs="Calibri"/>
          <w:i/>
          <w:iCs/>
          <w:szCs w:val="24"/>
          <w:u w:val="single"/>
          <w:lang w:val="nb-NO"/>
        </w:rPr>
        <w:t>eller som er kjent med at slik vil bli reist, må av samme grunn gi beskjed om dette så raskt som mulig.</w:t>
      </w:r>
    </w:p>
    <w:p w:rsidR="00003BE6" w:rsidRPr="00003BE6" w:rsidP="00003BE6" w14:paraId="62C7CCCE" w14:textId="77777777">
      <w:pPr>
        <w:rPr>
          <w:rFonts w:cs="Calibri"/>
          <w:szCs w:val="24"/>
          <w:lang w:val="nb-NO"/>
        </w:rPr>
      </w:pPr>
      <w:r w:rsidRPr="00003BE6">
        <w:rPr>
          <w:rFonts w:cs="Calibri"/>
          <w:i/>
          <w:iCs/>
          <w:szCs w:val="24"/>
          <w:lang w:val="nb-NO"/>
        </w:rPr>
        <w:t> </w:t>
      </w:r>
    </w:p>
    <w:p w:rsidR="00003BE6" w:rsidRPr="00003BE6" w:rsidP="00003BE6" w14:paraId="2608F6FE" w14:textId="77777777">
      <w:pPr>
        <w:rPr>
          <w:rFonts w:cs="Calibri"/>
          <w:szCs w:val="24"/>
          <w:lang w:val="nb-NO"/>
        </w:rPr>
      </w:pPr>
      <w:r w:rsidRPr="00003BE6">
        <w:rPr>
          <w:rFonts w:cs="Calibri"/>
          <w:i/>
          <w:iCs/>
          <w:szCs w:val="24"/>
          <w:lang w:val="nb-NO"/>
        </w:rPr>
        <w:t>Hvis varamedlem ikke er innkalt, kan det etter omstendighetene være nødvendig å utsette behandlingen av saken til organet kan bli fulltallig."</w:t>
      </w:r>
    </w:p>
    <w:p w:rsidR="00003BE6" w:rsidRPr="00003BE6" w:rsidP="00003BE6" w14:paraId="40F8474A" w14:textId="77777777">
      <w:pPr>
        <w:rPr>
          <w:rFonts w:cs="Calibri"/>
          <w:szCs w:val="24"/>
          <w:lang w:val="nb-NO"/>
        </w:rPr>
      </w:pPr>
      <w:r w:rsidRPr="00003BE6">
        <w:rPr>
          <w:rFonts w:cs="Calibri"/>
          <w:i/>
          <w:iCs/>
          <w:szCs w:val="24"/>
          <w:lang w:val="nb-NO"/>
        </w:rPr>
        <w:t> </w:t>
      </w:r>
    </w:p>
    <w:p w:rsidR="002F6C9F" w:rsidRPr="00294E53" w:rsidP="00003BE6" w14:paraId="07CAC8EF" w14:textId="57ACCE76">
      <w:pPr>
        <w:rPr>
          <w:rFonts w:cs="Calibri"/>
          <w:szCs w:val="24"/>
        </w:rPr>
      </w:pPr>
      <w:r w:rsidRPr="00294E53">
        <w:rPr>
          <w:rFonts w:cs="Calibri"/>
          <w:szCs w:val="24"/>
        </w:rPr>
        <w:t>Den som reiste spørsmålet skulle d</w:t>
      </w:r>
      <w:r w:rsidRPr="00294E53" w:rsidR="00641833">
        <w:rPr>
          <w:rFonts w:cs="Calibri"/>
          <w:szCs w:val="24"/>
        </w:rPr>
        <w:t>i</w:t>
      </w:r>
      <w:r w:rsidRPr="00294E53">
        <w:rPr>
          <w:rFonts w:cs="Calibri"/>
          <w:szCs w:val="24"/>
        </w:rPr>
        <w:t>for ha gjort dette tidl</w:t>
      </w:r>
      <w:r w:rsidRPr="00294E53" w:rsidR="00641833">
        <w:rPr>
          <w:rFonts w:cs="Calibri"/>
          <w:szCs w:val="24"/>
        </w:rPr>
        <w:t>e</w:t>
      </w:r>
      <w:r w:rsidRPr="00294E53">
        <w:rPr>
          <w:rFonts w:cs="Calibri"/>
          <w:szCs w:val="24"/>
        </w:rPr>
        <w:t>g</w:t>
      </w:r>
      <w:r w:rsidRPr="00294E53" w:rsidR="00641833">
        <w:rPr>
          <w:rFonts w:cs="Calibri"/>
          <w:szCs w:val="24"/>
        </w:rPr>
        <w:t>a</w:t>
      </w:r>
      <w:r w:rsidRPr="00294E53">
        <w:rPr>
          <w:rFonts w:cs="Calibri"/>
          <w:szCs w:val="24"/>
        </w:rPr>
        <w:t>re, og de</w:t>
      </w:r>
      <w:r w:rsidRPr="00294E53" w:rsidR="00294E53">
        <w:rPr>
          <w:rFonts w:cs="Calibri"/>
          <w:szCs w:val="24"/>
        </w:rPr>
        <w:t>i</w:t>
      </w:r>
      <w:r w:rsidRPr="00294E53">
        <w:rPr>
          <w:rFonts w:cs="Calibri"/>
          <w:szCs w:val="24"/>
        </w:rPr>
        <w:t xml:space="preserve"> som h</w:t>
      </w:r>
      <w:r w:rsidRPr="00294E53" w:rsidR="00294E53">
        <w:rPr>
          <w:rFonts w:cs="Calibri"/>
          <w:szCs w:val="24"/>
        </w:rPr>
        <w:t>a</w:t>
      </w:r>
      <w:r w:rsidRPr="00294E53">
        <w:rPr>
          <w:rFonts w:cs="Calibri"/>
          <w:szCs w:val="24"/>
        </w:rPr>
        <w:t>ndterte dette videre skulle ha gjort dette på e</w:t>
      </w:r>
      <w:r w:rsidRPr="00294E53" w:rsidR="00294E53">
        <w:rPr>
          <w:rFonts w:cs="Calibri"/>
          <w:szCs w:val="24"/>
        </w:rPr>
        <w:t>i</w:t>
      </w:r>
      <w:r w:rsidRPr="00294E53">
        <w:rPr>
          <w:rFonts w:cs="Calibri"/>
          <w:szCs w:val="24"/>
        </w:rPr>
        <w:t>n måte som gjorde</w:t>
      </w:r>
      <w:r w:rsidRPr="00294E53" w:rsidR="00294E53">
        <w:rPr>
          <w:rFonts w:cs="Calibri"/>
          <w:szCs w:val="24"/>
        </w:rPr>
        <w:t xml:space="preserve"> det mogl</w:t>
      </w:r>
      <w:r w:rsidR="00294E53">
        <w:rPr>
          <w:rFonts w:cs="Calibri"/>
          <w:szCs w:val="24"/>
        </w:rPr>
        <w:t>eg med</w:t>
      </w:r>
      <w:r w:rsidRPr="00294E53">
        <w:rPr>
          <w:rFonts w:cs="Calibri"/>
          <w:szCs w:val="24"/>
        </w:rPr>
        <w:t xml:space="preserve"> bruk av vararepresentant.</w:t>
      </w:r>
    </w:p>
    <w:p w:rsidR="00291508" w:rsidRPr="00291508" w:rsidP="00291508" w14:paraId="1D755654" w14:textId="766C833D">
      <w:pPr>
        <w:rPr>
          <w:rFonts w:cs="Calibri"/>
          <w:szCs w:val="24"/>
        </w:rPr>
      </w:pPr>
      <w:r w:rsidRPr="00291508">
        <w:rPr>
          <w:rFonts w:cs="Calibri"/>
          <w:szCs w:val="24"/>
        </w:rPr>
        <w:t>At Godal feilaktig har blitt sett på som ugild, gjer at det hefter sakshandsamingsfeil med utvalet sitt vedtak. Ein slik sakshands</w:t>
      </w:r>
      <w:r>
        <w:rPr>
          <w:rFonts w:cs="Calibri"/>
          <w:szCs w:val="24"/>
        </w:rPr>
        <w:t>ami</w:t>
      </w:r>
      <w:r w:rsidRPr="00291508">
        <w:rPr>
          <w:rFonts w:cs="Calibri"/>
          <w:szCs w:val="24"/>
        </w:rPr>
        <w:t>ngsfeil gj</w:t>
      </w:r>
      <w:r>
        <w:rPr>
          <w:rFonts w:cs="Calibri"/>
          <w:szCs w:val="24"/>
        </w:rPr>
        <w:t>e</w:t>
      </w:r>
      <w:r w:rsidRPr="00291508">
        <w:rPr>
          <w:rFonts w:cs="Calibri"/>
          <w:szCs w:val="24"/>
        </w:rPr>
        <w:t>r ikk</w:t>
      </w:r>
      <w:r>
        <w:rPr>
          <w:rFonts w:cs="Calibri"/>
          <w:szCs w:val="24"/>
        </w:rPr>
        <w:t>j</w:t>
      </w:r>
      <w:r w:rsidRPr="00291508">
        <w:rPr>
          <w:rFonts w:cs="Calibri"/>
          <w:szCs w:val="24"/>
        </w:rPr>
        <w:t>e at vedtaket automatisk blir ugyldig. Det er berre der sakshandsamingsfeilen kan ha v</w:t>
      </w:r>
      <w:r>
        <w:rPr>
          <w:rFonts w:cs="Calibri"/>
          <w:szCs w:val="24"/>
        </w:rPr>
        <w:t>ore</w:t>
      </w:r>
      <w:r w:rsidRPr="00291508">
        <w:rPr>
          <w:rFonts w:cs="Calibri"/>
          <w:szCs w:val="24"/>
        </w:rPr>
        <w:t xml:space="preserve"> bestemm</w:t>
      </w:r>
      <w:r>
        <w:rPr>
          <w:rFonts w:cs="Calibri"/>
          <w:szCs w:val="24"/>
        </w:rPr>
        <w:t>a</w:t>
      </w:r>
      <w:r w:rsidRPr="00291508">
        <w:rPr>
          <w:rFonts w:cs="Calibri"/>
          <w:szCs w:val="24"/>
        </w:rPr>
        <w:t>nde for vedtakets innh</w:t>
      </w:r>
      <w:r>
        <w:rPr>
          <w:rFonts w:cs="Calibri"/>
          <w:szCs w:val="24"/>
        </w:rPr>
        <w:t>a</w:t>
      </w:r>
      <w:r w:rsidRPr="00291508">
        <w:rPr>
          <w:rFonts w:cs="Calibri"/>
          <w:szCs w:val="24"/>
        </w:rPr>
        <w:t>ld at e</w:t>
      </w:r>
      <w:r>
        <w:rPr>
          <w:rFonts w:cs="Calibri"/>
          <w:szCs w:val="24"/>
        </w:rPr>
        <w:t>i</w:t>
      </w:r>
      <w:r w:rsidRPr="00291508">
        <w:rPr>
          <w:rFonts w:cs="Calibri"/>
          <w:szCs w:val="24"/>
        </w:rPr>
        <w:t>t vedtak kan bli ugyldig, jf. forvaltningslova § 41</w:t>
      </w:r>
      <w:r>
        <w:rPr>
          <w:rFonts w:cs="Calibri"/>
          <w:szCs w:val="24"/>
        </w:rPr>
        <w:t>:</w:t>
      </w:r>
      <w:r w:rsidRPr="00291508">
        <w:rPr>
          <w:rFonts w:cs="Calibri"/>
          <w:szCs w:val="24"/>
        </w:rPr>
        <w:t> </w:t>
      </w:r>
    </w:p>
    <w:p w:rsidR="00291508" w:rsidRPr="00291508" w:rsidP="00291508" w14:paraId="397D9EEC" w14:textId="77777777">
      <w:pPr>
        <w:rPr>
          <w:rFonts w:cs="Calibri"/>
          <w:szCs w:val="24"/>
          <w:lang w:val="nb-NO"/>
        </w:rPr>
      </w:pPr>
      <w:r w:rsidRPr="00291508">
        <w:rPr>
          <w:rFonts w:cs="Calibri"/>
          <w:i/>
          <w:iCs/>
          <w:szCs w:val="24"/>
          <w:lang w:val="nb-NO"/>
        </w:rPr>
        <w:t>"§ 41. (virkningen av feil ved behandlingsmåten).</w:t>
      </w:r>
    </w:p>
    <w:p w:rsidR="00291508" w:rsidRPr="00291508" w:rsidP="00291508" w14:paraId="23468560" w14:textId="77777777">
      <w:pPr>
        <w:rPr>
          <w:rFonts w:cs="Calibri"/>
          <w:szCs w:val="24"/>
          <w:lang w:val="nb-NO"/>
        </w:rPr>
      </w:pPr>
      <w:r w:rsidRPr="00291508">
        <w:rPr>
          <w:rFonts w:cs="Calibri"/>
          <w:i/>
          <w:iCs/>
          <w:szCs w:val="24"/>
          <w:lang w:val="nb-NO"/>
        </w:rPr>
        <w:t>Er reglene om behandlingsmåten i denne lov eller forskrifter gitt i medhold av loven ikke overholdt ved behandlingen av en sak som gjelder enkeltvedtak, er vedtaket likevel gyldig når det er grunn til å regne med at feilen ikke kan ha virket bestemmende på vedtakets innhold,"</w:t>
      </w:r>
    </w:p>
    <w:p w:rsidR="00291508" w:rsidRPr="00291508" w:rsidP="00291508" w14:paraId="63776BD8" w14:textId="77777777">
      <w:pPr>
        <w:rPr>
          <w:rFonts w:cs="Calibri"/>
          <w:szCs w:val="24"/>
          <w:lang w:val="nb-NO"/>
        </w:rPr>
      </w:pPr>
      <w:r w:rsidRPr="00291508">
        <w:rPr>
          <w:rFonts w:cs="Calibri"/>
          <w:szCs w:val="24"/>
          <w:lang w:val="nb-NO"/>
        </w:rPr>
        <w:t> </w:t>
      </w:r>
    </w:p>
    <w:p w:rsidR="00291508" w:rsidRPr="00291508" w:rsidP="00291508" w14:paraId="7771319B" w14:textId="76643F5D">
      <w:pPr>
        <w:rPr>
          <w:rFonts w:cs="Calibri"/>
          <w:szCs w:val="24"/>
        </w:rPr>
      </w:pPr>
      <w:r w:rsidRPr="00291508">
        <w:rPr>
          <w:rFonts w:cs="Calibri"/>
          <w:szCs w:val="24"/>
        </w:rPr>
        <w:t>I møteprotokollen ser ein at vedtaket blei som følgje</w:t>
      </w:r>
      <w:r>
        <w:rPr>
          <w:rFonts w:cs="Calibri"/>
          <w:szCs w:val="24"/>
        </w:rPr>
        <w:t>r:</w:t>
      </w:r>
      <w:r w:rsidRPr="00291508">
        <w:rPr>
          <w:rFonts w:cs="Calibri"/>
          <w:szCs w:val="24"/>
        </w:rPr>
        <w:t xml:space="preserve"> "</w:t>
      </w:r>
      <w:r w:rsidRPr="00291508">
        <w:rPr>
          <w:rFonts w:cs="Calibri"/>
          <w:i/>
          <w:iCs/>
          <w:szCs w:val="24"/>
        </w:rPr>
        <w:t>Kommunedirektørens framlegg blei vedteke med 5 mot 1 røyst."</w:t>
      </w:r>
      <w:r w:rsidRPr="00291508">
        <w:rPr>
          <w:rFonts w:cs="Calibri"/>
          <w:szCs w:val="24"/>
        </w:rPr>
        <w:t xml:space="preserve"> Dette inneber at dersom Godal ikkje hadde blitt sett på som ugild og kunne vore med på avstemminga, ville det ikk</w:t>
      </w:r>
      <w:r>
        <w:rPr>
          <w:rFonts w:cs="Calibri"/>
          <w:szCs w:val="24"/>
        </w:rPr>
        <w:t>j</w:t>
      </w:r>
      <w:r w:rsidRPr="00291508">
        <w:rPr>
          <w:rFonts w:cs="Calibri"/>
          <w:szCs w:val="24"/>
        </w:rPr>
        <w:t>e hatt betydning for utfallet, altså har sakshand</w:t>
      </w:r>
      <w:r>
        <w:rPr>
          <w:rFonts w:cs="Calibri"/>
          <w:szCs w:val="24"/>
        </w:rPr>
        <w:t>samin</w:t>
      </w:r>
      <w:r w:rsidRPr="00291508">
        <w:rPr>
          <w:rFonts w:cs="Calibri"/>
          <w:szCs w:val="24"/>
        </w:rPr>
        <w:t>gsfeilen ikk</w:t>
      </w:r>
      <w:r>
        <w:rPr>
          <w:rFonts w:cs="Calibri"/>
          <w:szCs w:val="24"/>
        </w:rPr>
        <w:t>j</w:t>
      </w:r>
      <w:r w:rsidRPr="00291508">
        <w:rPr>
          <w:rFonts w:cs="Calibri"/>
          <w:szCs w:val="24"/>
        </w:rPr>
        <w:t>e v</w:t>
      </w:r>
      <w:r>
        <w:rPr>
          <w:rFonts w:cs="Calibri"/>
          <w:szCs w:val="24"/>
        </w:rPr>
        <w:t>ore</w:t>
      </w:r>
      <w:r w:rsidRPr="00291508">
        <w:rPr>
          <w:rFonts w:cs="Calibri"/>
          <w:szCs w:val="24"/>
        </w:rPr>
        <w:t xml:space="preserve"> bestemm</w:t>
      </w:r>
      <w:r>
        <w:rPr>
          <w:rFonts w:cs="Calibri"/>
          <w:szCs w:val="24"/>
        </w:rPr>
        <w:t>a</w:t>
      </w:r>
      <w:r w:rsidRPr="00291508">
        <w:rPr>
          <w:rFonts w:cs="Calibri"/>
          <w:szCs w:val="24"/>
        </w:rPr>
        <w:t>nde for vedtaket.</w:t>
      </w:r>
      <w:r>
        <w:rPr>
          <w:rFonts w:cs="Calibri"/>
          <w:szCs w:val="24"/>
        </w:rPr>
        <w:t xml:space="preserve"> Sjølv om eit utvalsmedlem kan påverke kollegaer gjennom ein debatt, styrker tidlegare behandlingar av plansaka </w:t>
      </w:r>
      <w:r w:rsidR="00DD340A">
        <w:rPr>
          <w:rFonts w:cs="Calibri"/>
          <w:szCs w:val="24"/>
        </w:rPr>
        <w:t>denne synsmåten.</w:t>
      </w:r>
    </w:p>
    <w:p w:rsidR="00003BE6" w:rsidRPr="00291508" w:rsidP="00316D7F" w14:paraId="2E9CEFBE" w14:textId="77777777">
      <w:pPr>
        <w:rPr>
          <w:rFonts w:cs="Calibri"/>
          <w:szCs w:val="24"/>
        </w:rPr>
      </w:pPr>
    </w:p>
    <w:p w:rsidR="00003BE6" w:rsidRPr="00DD340A" w:rsidP="00316D7F" w14:paraId="61358A65" w14:textId="6FB227AD">
      <w:pPr>
        <w:rPr>
          <w:rFonts w:cs="Calibri"/>
          <w:szCs w:val="24"/>
        </w:rPr>
      </w:pPr>
      <w:r w:rsidRPr="00DD340A">
        <w:rPr>
          <w:rFonts w:cs="Calibri"/>
          <w:szCs w:val="24"/>
        </w:rPr>
        <w:t>Oppsummert vurderer kommunedirektøren det til at Irja Godal skulle delteke i plan- og miljøutvalet</w:t>
      </w:r>
      <w:r>
        <w:rPr>
          <w:rFonts w:cs="Calibri"/>
          <w:szCs w:val="24"/>
        </w:rPr>
        <w:t xml:space="preserve"> si </w:t>
      </w:r>
      <w:r w:rsidRPr="00DD340A">
        <w:rPr>
          <w:rFonts w:cs="Calibri"/>
          <w:szCs w:val="24"/>
        </w:rPr>
        <w:t>handsaming</w:t>
      </w:r>
      <w:r>
        <w:rPr>
          <w:rFonts w:cs="Calibri"/>
          <w:szCs w:val="24"/>
        </w:rPr>
        <w:t xml:space="preserve"> av klager og førespurnad om utsett iverksetjing av </w:t>
      </w:r>
      <w:r w:rsidRPr="002F0349" w:rsidR="004D18C9">
        <w:rPr>
          <w:rFonts w:cs="Calibri"/>
          <w:szCs w:val="24"/>
        </w:rPr>
        <w:t>PlanID</w:t>
      </w:r>
      <w:r w:rsidRPr="002F0349" w:rsidR="004D18C9">
        <w:rPr>
          <w:rFonts w:cs="Calibri"/>
          <w:szCs w:val="24"/>
        </w:rPr>
        <w:t xml:space="preserve"> 20220001 - Detaljregulering for </w:t>
      </w:r>
      <w:r w:rsidRPr="002F0349" w:rsidR="004D18C9">
        <w:rPr>
          <w:rFonts w:cs="Calibri"/>
          <w:szCs w:val="24"/>
        </w:rPr>
        <w:t>Flåmyrane</w:t>
      </w:r>
      <w:r w:rsidRPr="002F0349" w:rsidR="004D18C9">
        <w:rPr>
          <w:rFonts w:cs="Calibri"/>
          <w:szCs w:val="24"/>
        </w:rPr>
        <w:t xml:space="preserve"> III, 99/1</w:t>
      </w:r>
      <w:r>
        <w:rPr>
          <w:rFonts w:cs="Calibri"/>
          <w:szCs w:val="24"/>
        </w:rPr>
        <w:t xml:space="preserve">. Likevel vurderer ikkje kommunedirektøren det til at denne sakshandsamingsfeilen </w:t>
      </w:r>
      <w:r w:rsidR="004D18C9">
        <w:rPr>
          <w:rFonts w:cs="Calibri"/>
          <w:szCs w:val="24"/>
        </w:rPr>
        <w:t xml:space="preserve">har hatt innverknad på utfallet av saka. </w:t>
      </w:r>
    </w:p>
    <w:p w:rsidR="00466354" w:rsidRPr="00DD340A" w:rsidP="00316D7F" w14:paraId="548770B8" w14:textId="77777777">
      <w:pPr>
        <w:rPr>
          <w:rFonts w:cs="Calibri"/>
          <w:szCs w:val="24"/>
        </w:rPr>
      </w:pPr>
    </w:p>
    <w:p w:rsidR="001C39FA" w:rsidRPr="00120A01" w:rsidP="001C39FA" w14:paraId="7E2CC6F9" w14:textId="77777777">
      <w:pPr>
        <w:pStyle w:val="Heading2"/>
      </w:pPr>
      <w:bookmarkStart w:id="5" w:name="Innstilling"/>
      <w:r w:rsidRPr="00120A01">
        <w:t>Kommunedirektør</w:t>
      </w:r>
      <w:r w:rsidRPr="00120A01" w:rsidR="00BE68D8">
        <w:t>en</w:t>
      </w:r>
      <w:r w:rsidRPr="00120A01">
        <w:t xml:space="preserve"> sitt framlegg til vedtak</w:t>
      </w:r>
    </w:p>
    <w:p w:rsidR="004D18C9" w:rsidP="004D18C9" w14:paraId="00B0D3DD" w14:textId="7B3DF4CD">
      <w:pPr>
        <w:pStyle w:val="ListParagraph"/>
        <w:numPr>
          <w:ilvl w:val="0"/>
          <w:numId w:val="7"/>
        </w:numPr>
      </w:pPr>
      <w:r>
        <w:t>Plan- og miljøutvalet tek vurderinga av habilitetsavgjerda i saka til etterretning, og legg til grunn endra praksis i framtidige saker</w:t>
      </w:r>
    </w:p>
    <w:p w:rsidR="001C39FA" w:rsidRPr="00120A01" w:rsidP="004D18C9" w14:paraId="16DA3D04" w14:textId="04046BE4">
      <w:pPr>
        <w:pStyle w:val="ListParagraph"/>
        <w:numPr>
          <w:ilvl w:val="0"/>
          <w:numId w:val="7"/>
        </w:numPr>
      </w:pPr>
      <w:r>
        <w:t>Plan- og miljøutvalet sitt vedtak i sak 5/2026 blir ståande</w:t>
      </w:r>
    </w:p>
    <w:p w:rsidR="001C39FA" w:rsidRPr="00120A01" w:rsidP="001C39FA" w14:paraId="4D636DFC" w14:textId="77777777"/>
    <w:p w:rsidR="001C39FA" w:rsidRPr="00120A01" w:rsidP="001C39FA" w14:paraId="7A7F4AD7" w14:textId="77777777"/>
    <w:p w:rsidR="001C39FA" w:rsidRPr="00120A01" w:rsidP="001C39FA" w14:paraId="00670256" w14:textId="77777777"/>
    <w:bookmarkEnd w:id="5"/>
    <w:p w:rsidR="001C39FA" w:rsidRPr="001C39FA" w:rsidP="001C39FA" w14:paraId="0AD143D5" w14:textId="77777777"/>
    <w:p w:rsidR="005D154F" w:rsidP="00513074" w14:paraId="2FC5C7DD" w14:textId="68736642">
      <w:pPr>
        <w:pStyle w:val="OverskriftElements"/>
      </w:pPr>
      <w:bookmarkStart w:id="6" w:name="UtvalgsNavn"/>
      <w:r>
        <w:t>Plan- og miljøutvalet</w:t>
      </w:r>
      <w:bookmarkEnd w:id="6"/>
      <w:r>
        <w:t xml:space="preserve"> si</w:t>
      </w:r>
      <w:r>
        <w:t xml:space="preserve"> </w:t>
      </w:r>
      <w:r w:rsidR="00156140">
        <w:t xml:space="preserve">handsaming av </w:t>
      </w:r>
      <w:r>
        <w:t xml:space="preserve">sak </w:t>
      </w:r>
      <w:bookmarkStart w:id="7" w:name="MØTESAKSNR"/>
      <w:r w:rsidR="00156140">
        <w:t>32/2026</w:t>
      </w:r>
      <w:bookmarkEnd w:id="7"/>
      <w:r w:rsidR="00156140">
        <w:t xml:space="preserve"> i møtet den </w:t>
      </w:r>
      <w:bookmarkStart w:id="8" w:name="MøteDato"/>
      <w:r>
        <w:t>18.03.2026</w:t>
      </w:r>
      <w:bookmarkEnd w:id="8"/>
    </w:p>
    <w:p w:rsidR="0030373B" w:rsidRPr="00FD0F82" w:rsidP="00513074" w14:paraId="1A60DED3" w14:textId="51518FBF">
      <w:pPr>
        <w:pStyle w:val="OverskriftElements"/>
      </w:pPr>
      <w:r>
        <w:t>Handsaming av saka</w:t>
      </w:r>
    </w:p>
    <w:p w:rsidR="00D52C2E" w:rsidRPr="00FD0F82" w:rsidP="00513074" w14:paraId="1150FE20" w14:textId="77777777">
      <w:pPr>
        <w:spacing w:after="0" w:line="240" w:lineRule="auto"/>
        <w:rPr>
          <w:rFonts w:eastAsia="Times New Roman" w:cs="Times New Roman"/>
          <w:szCs w:val="24"/>
          <w:lang w:eastAsia="nb-NO"/>
          <w14:ligatures w14:val="none"/>
        </w:rPr>
      </w:pPr>
      <w:bookmarkStart w:id="9" w:name="Behandling"/>
      <w:r w:rsidRPr="00FD0F82">
        <w:rPr>
          <w:rFonts w:eastAsia="Times New Roman" w:cs="Times New Roman"/>
          <w:szCs w:val="24"/>
          <w:u w:val="single"/>
          <w:lang w:eastAsia="nb-NO"/>
          <w14:ligatures w14:val="none"/>
        </w:rPr>
        <w:t>Framlegg frå Tone Edland (Sp):</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Klaga til Irja Godal vert avvisa av fylgjande grunnar:</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 Vedtak om habilitet er ikkje eit enkeltvedtak, jf. FVL § 2, difor er det ikkje klagerett på avgjersla om inhabilitet.</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 Godal er ikkje part i saka, og har heller ikkje rettsleg klageinteresse, jf. FVL § 28, og har såleis ikkje høve til å klage på avgjersla om eigen inhabilitet.</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 Plan- og miljøutvalet kan ikkje sjå at det hefter nokon sakshandsamingsfeil ved vedtaket knytt til at det ikkje kom inn vara for Godal, då utvalet likevel var vedtaksføre og dette ikkje fekk nokon innverknad på vedtaket av saka då vedtaket vart samrøystes vedteke.</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 </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Kommunedirektørens framlegg blei sett opp mot Edlands. Edlands framlegg blei samrøystes vedteke.</w:t>
      </w:r>
    </w:p>
    <w:p w:rsidR="00D52C2E" w:rsidRPr="00FD0F82" w:rsidP="00513074">
      <w:pPr>
        <w:spacing w:after="0" w:line="240" w:lineRule="auto"/>
        <w:rPr>
          <w:rFonts w:eastAsia="Times New Roman" w:cs="Times New Roman"/>
          <w:szCs w:val="24"/>
          <w:lang w:eastAsia="nb-NO"/>
          <w14:ligatures w14:val="none"/>
        </w:rPr>
      </w:pPr>
      <w:bookmarkEnd w:id="9"/>
    </w:p>
    <w:p w:rsidR="003506EF" w:rsidRPr="00FD0F82" w:rsidP="00513074" w14:paraId="6B31D150" w14:textId="77777777">
      <w:pPr>
        <w:spacing w:after="0" w:line="240" w:lineRule="auto"/>
        <w:rPr>
          <w:rFonts w:eastAsia="Times New Roman" w:cs="Times New Roman"/>
          <w:szCs w:val="24"/>
          <w:lang w:eastAsia="nb-NO"/>
          <w14:ligatures w14:val="none"/>
        </w:rPr>
      </w:pPr>
    </w:p>
    <w:p w:rsidR="003506EF" w:rsidRPr="00513074" w:rsidP="00513074" w14:paraId="7137D309" w14:textId="6B47AAC2">
      <w:pPr>
        <w:pStyle w:val="OverskriftElements"/>
      </w:pPr>
      <w:r w:rsidRPr="00513074">
        <w:t>Vedtak</w:t>
      </w:r>
    </w:p>
    <w:p w:rsidR="003506EF" w:rsidRPr="00F6697C" w:rsidP="00513074" w14:paraId="05A7EC8B" w14:textId="77777777">
      <w:pPr>
        <w:spacing w:after="0" w:line="240" w:lineRule="auto"/>
        <w:rPr>
          <w:rFonts w:eastAsia="Times New Roman" w:cs="Times New Roman"/>
          <w:szCs w:val="24"/>
          <w:lang w:eastAsia="nb-NO"/>
          <w14:ligatures w14:val="none"/>
        </w:rPr>
      </w:pPr>
      <w:bookmarkStart w:id="10" w:name="Vedtak"/>
      <w:r w:rsidRPr="00F6697C">
        <w:rPr>
          <w:rFonts w:eastAsia="Times New Roman" w:cs="Times New Roman"/>
          <w:szCs w:val="24"/>
          <w:lang w:eastAsia="nb-NO"/>
          <w14:ligatures w14:val="none"/>
        </w:rPr>
        <w:t>Klaga til Irja Godal vert avvisa av fylgjande grunnar:</w:t>
      </w:r>
    </w:p>
    <w:p w:rsidR="003506EF" w:rsidRPr="00F6697C" w:rsidP="00513074">
      <w:pPr>
        <w:spacing w:after="0" w:line="240" w:lineRule="auto"/>
        <w:rPr>
          <w:rFonts w:eastAsia="Times New Roman" w:cs="Times New Roman"/>
          <w:szCs w:val="24"/>
          <w:lang w:eastAsia="nb-NO"/>
          <w14:ligatures w14:val="none"/>
        </w:rPr>
      </w:pPr>
      <w:r w:rsidRPr="00F6697C">
        <w:rPr>
          <w:rFonts w:eastAsia="Times New Roman" w:cs="Times New Roman"/>
          <w:szCs w:val="24"/>
          <w:lang w:eastAsia="nb-NO"/>
          <w14:ligatures w14:val="none"/>
        </w:rPr>
        <w:t>- Vedtak om habilitet er ikkje eit enkeltvedtak, jf. FVL § 2, difor er det ikkje klagerett på avgjersla om inhabilitet.</w:t>
      </w:r>
    </w:p>
    <w:p w:rsidR="003506EF" w:rsidRPr="00F6697C" w:rsidP="00513074">
      <w:pPr>
        <w:spacing w:after="0" w:line="240" w:lineRule="auto"/>
        <w:rPr>
          <w:rFonts w:eastAsia="Times New Roman" w:cs="Times New Roman"/>
          <w:szCs w:val="24"/>
          <w:lang w:eastAsia="nb-NO"/>
          <w14:ligatures w14:val="none"/>
        </w:rPr>
      </w:pPr>
      <w:r w:rsidRPr="00F6697C">
        <w:rPr>
          <w:rFonts w:eastAsia="Times New Roman" w:cs="Times New Roman"/>
          <w:szCs w:val="24"/>
          <w:lang w:eastAsia="nb-NO"/>
          <w14:ligatures w14:val="none"/>
        </w:rPr>
        <w:t>- Godal er ikkje part i saka, og har heller ikkje rettsleg klageinteresse, jf. FVL § 28, og har såleis ikkje høve til å klage på avgjersla om eigen inhabilitet.</w:t>
      </w:r>
    </w:p>
    <w:p w:rsidR="003506EF" w:rsidRPr="00F6697C" w:rsidP="00513074">
      <w:pPr>
        <w:spacing w:after="0" w:line="240" w:lineRule="auto"/>
        <w:rPr>
          <w:rFonts w:eastAsia="Times New Roman" w:cs="Times New Roman"/>
          <w:szCs w:val="24"/>
          <w:lang w:eastAsia="nb-NO"/>
          <w14:ligatures w14:val="none"/>
        </w:rPr>
      </w:pPr>
      <w:r w:rsidRPr="00F6697C">
        <w:rPr>
          <w:rFonts w:eastAsia="Times New Roman" w:cs="Times New Roman"/>
          <w:szCs w:val="24"/>
          <w:lang w:eastAsia="nb-NO"/>
          <w14:ligatures w14:val="none"/>
        </w:rPr>
        <w:t>- Plan- og miljøutvalet kan ikkje sjå at det hefter nokon sakshandsamingsfeil ved vedtaket knytt til at det ikkje kom inn vara for Godal, då utvalet likevel var vedtaksføre og dette ikkje fekk nokon innverknad på vedtaket av saka då vedtaket vart samrøystes vedteke.</w:t>
      </w:r>
    </w:p>
    <w:p w:rsidR="003506EF" w:rsidRPr="00F6697C" w:rsidP="00513074">
      <w:pPr>
        <w:spacing w:after="0" w:line="240" w:lineRule="auto"/>
        <w:rPr>
          <w:rFonts w:eastAsia="Times New Roman" w:cs="Times New Roman"/>
          <w:szCs w:val="24"/>
          <w:lang w:eastAsia="nb-NO"/>
          <w14:ligatures w14:val="none"/>
        </w:rPr>
      </w:pPr>
      <w:bookmarkEnd w:id="10"/>
    </w:p>
    <w:p w:rsidR="003506EF" w:rsidRPr="00F6697C" w:rsidP="00D13C46" w14:paraId="162A561B" w14:textId="77777777">
      <w:pPr>
        <w:spacing w:after="0" w:line="240" w:lineRule="auto"/>
        <w:rPr>
          <w:rFonts w:eastAsia="Times New Roman" w:cs="Arial"/>
          <w:sz w:val="22"/>
          <w:lang w:eastAsia="nb-NO"/>
          <w14:ligatures w14:val="none"/>
        </w:rPr>
      </w:pPr>
    </w:p>
    <w:p w:rsidR="00D52C2E" w:rsidRPr="00676688" w:rsidP="00D13C46" w14:paraId="713619D4" w14:textId="77777777">
      <w:pPr>
        <w:spacing w:after="0" w:line="240" w:lineRule="auto"/>
        <w:rPr>
          <w:rFonts w:eastAsia="Times New Roman" w:cs="Times New Roman"/>
          <w:vanish/>
          <w:color w:val="0000FF"/>
          <w:sz w:val="16"/>
          <w:szCs w:val="16"/>
          <w:lang w:eastAsia="nb-NO"/>
          <w14:ligatures w14:val="none"/>
        </w:rPr>
      </w:pPr>
      <w:r w:rsidRPr="00676688">
        <w:rPr>
          <w:rFonts w:eastAsia="Times New Roman" w:cs="Times New Roman"/>
          <w:vanish/>
          <w:color w:val="0000FF"/>
          <w:sz w:val="16"/>
          <w:szCs w:val="16"/>
          <w:lang w:eastAsia="nb-NO"/>
          <w14:ligatures w14:val="none"/>
        </w:rPr>
        <w:t xml:space="preserve">--- slutt på </w:t>
      </w:r>
      <w:r w:rsidR="00101B33">
        <w:rPr>
          <w:rFonts w:eastAsia="Times New Roman" w:cs="Times New Roman"/>
          <w:vanish/>
          <w:color w:val="0000FF"/>
          <w:sz w:val="16"/>
          <w:szCs w:val="16"/>
          <w:lang w:eastAsia="nb-NO"/>
          <w14:ligatures w14:val="none"/>
        </w:rPr>
        <w:t>saksprotokoll</w:t>
      </w:r>
      <w:r w:rsidRPr="00676688">
        <w:rPr>
          <w:rFonts w:eastAsia="Times New Roman" w:cs="Times New Roman"/>
          <w:vanish/>
          <w:color w:val="0000FF"/>
          <w:sz w:val="16"/>
          <w:szCs w:val="16"/>
          <w:lang w:eastAsia="nb-NO"/>
          <w14:ligatures w14:val="none"/>
        </w:rPr>
        <w:t xml:space="preserve"> ---</w:t>
      </w:r>
    </w:p>
    <w:p w:rsidR="00D113E5" w:rsidP="002A6192" w14:paraId="4389D9EB" w14:textId="05EAA578">
      <w:pPr>
        <w:spacing w:after="0" w:line="240" w:lineRule="auto"/>
        <w:rPr>
          <w:rFonts w:eastAsia="Times New Roman" w:cs="Times New Roman"/>
          <w:szCs w:val="24"/>
          <w:lang w:eastAsia="nb-NO"/>
          <w14:ligatures w14:val="none"/>
        </w:rPr>
      </w:pPr>
      <w:r>
        <w:rPr>
          <w:rFonts w:eastAsia="Times New Roman" w:cs="Times New Roman"/>
          <w:szCs w:val="24"/>
          <w:lang w:eastAsia="nb-NO"/>
          <w14:ligatures w14:val="none"/>
        </w:rPr>
        <w:t>________________________________________________________________________</w:t>
      </w:r>
    </w:p>
    <w:p w:rsidR="001C39FA" w:rsidRPr="001C39FA" w:rsidP="001C39FA"/>
    <w:sectPr w:rsidSect="00F30734">
      <w:headerReference w:type="default" r:id="rId6"/>
      <w:footerReference w:type="default" r:id="rId7"/>
      <w:headerReference w:type="first" r:id="rId8"/>
      <w:footerReference w:type="first" r:id="rId9"/>
      <w:pgSz w:w="11906" w:h="16838" w:code="9"/>
      <w:pgMar w:top="1588" w:right="1287" w:bottom="1588" w:left="1276" w:header="851"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vertAnchor="page" w:tblpY="15480"/>
      <w:tblW w:w="9498" w:type="dxa"/>
      <w:tblLayout w:type="fixed"/>
      <w:tblCellMar>
        <w:left w:w="0" w:type="dxa"/>
        <w:right w:w="0" w:type="dxa"/>
      </w:tblCellMar>
      <w:tblLook w:val="04A0"/>
    </w:tblPr>
    <w:tblGrid>
      <w:gridCol w:w="2352"/>
      <w:gridCol w:w="2114"/>
      <w:gridCol w:w="1903"/>
      <w:gridCol w:w="3129"/>
    </w:tblGrid>
    <w:tr w14:paraId="3B0EC501" w14:textId="77777777">
      <w:tblPrEx>
        <w:tblW w:w="9498" w:type="dxa"/>
        <w:tblLayout w:type="fixed"/>
        <w:tblCellMar>
          <w:left w:w="0" w:type="dxa"/>
          <w:right w:w="0" w:type="dxa"/>
        </w:tblCellMar>
        <w:tblLook w:val="04A0"/>
      </w:tblPrEx>
      <w:tc>
        <w:tcPr>
          <w:tcW w:w="2352" w:type="dxa"/>
        </w:tcPr>
        <w:p w:rsidR="00514FC9" w:rsidRPr="00120A01" w14:paraId="0A662784" w14:textId="77777777">
          <w:pPr>
            <w:tabs>
              <w:tab w:val="center" w:pos="4536"/>
              <w:tab w:val="right" w:pos="9072"/>
            </w:tabs>
            <w:spacing w:before="60"/>
            <w:rPr>
              <w:rFonts w:eastAsia="Times New Roman" w:cs="Arial"/>
              <w:sz w:val="16"/>
              <w:szCs w:val="24"/>
              <w:lang w:eastAsia="nb-NO"/>
            </w:rPr>
          </w:pPr>
        </w:p>
      </w:tc>
      <w:tc>
        <w:tcPr>
          <w:tcW w:w="2114" w:type="dxa"/>
        </w:tcPr>
        <w:p w:rsidR="00514FC9" w:rsidRPr="00120A01" w14:paraId="0C06BB90" w14:textId="77777777">
          <w:pPr>
            <w:tabs>
              <w:tab w:val="center" w:pos="4536"/>
              <w:tab w:val="right" w:pos="9072"/>
            </w:tabs>
            <w:spacing w:before="60"/>
            <w:rPr>
              <w:rFonts w:eastAsia="Times New Roman" w:cs="Arial"/>
              <w:sz w:val="16"/>
              <w:szCs w:val="24"/>
              <w:lang w:eastAsia="nb-NO"/>
            </w:rPr>
          </w:pPr>
        </w:p>
      </w:tc>
      <w:tc>
        <w:tcPr>
          <w:tcW w:w="1903" w:type="dxa"/>
        </w:tcPr>
        <w:p w:rsidR="00514FC9" w:rsidRPr="00120A01" w14:paraId="79563729" w14:textId="77777777">
          <w:pPr>
            <w:tabs>
              <w:tab w:val="center" w:pos="4536"/>
              <w:tab w:val="right" w:pos="9072"/>
            </w:tabs>
            <w:spacing w:before="60"/>
            <w:rPr>
              <w:rFonts w:eastAsia="Times New Roman" w:cs="Arial"/>
              <w:sz w:val="16"/>
              <w:szCs w:val="24"/>
              <w:lang w:eastAsia="nb-NO"/>
            </w:rPr>
          </w:pPr>
        </w:p>
      </w:tc>
      <w:tc>
        <w:tcPr>
          <w:tcW w:w="3129" w:type="dxa"/>
        </w:tcPr>
        <w:p w:rsidR="00514FC9" w:rsidRPr="00120A01" w14:paraId="7B8F1468" w14:textId="77777777">
          <w:pPr>
            <w:tabs>
              <w:tab w:val="center" w:pos="4536"/>
              <w:tab w:val="right" w:pos="9072"/>
            </w:tabs>
            <w:spacing w:before="60"/>
            <w:rPr>
              <w:rFonts w:eastAsia="Times New Roman" w:cs="Arial"/>
              <w:sz w:val="16"/>
              <w:szCs w:val="24"/>
              <w:lang w:eastAsia="nb-NO"/>
            </w:rPr>
          </w:pPr>
        </w:p>
      </w:tc>
    </w:tr>
  </w:tbl>
  <w:p w:rsidR="00022151" w:rsidRPr="00120A01" w14:paraId="40A88E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76A" w:rsidRPr="00120A01" w:rsidP="00D2276A" w14:paraId="224C6966" w14:textId="77777777">
    <w:pPr>
      <w:pStyle w:val="Footer"/>
      <w:rPr>
        <w:sz w:val="22"/>
      </w:rPr>
    </w:pPr>
  </w:p>
  <w:p w:rsidR="00D2276A" w:rsidRPr="00120A01" w:rsidP="00D2276A" w14:paraId="687431F0" w14:textId="77777777">
    <w:pPr>
      <w:pStyle w:val="Footer"/>
      <w:ind w:left="-1276"/>
    </w:pPr>
  </w:p>
  <w:p w:rsidR="00127DD4" w:rsidRPr="00120A01" w:rsidP="00501F0B" w14:paraId="4CACB3C1" w14:textId="77777777">
    <w:pPr>
      <w:pStyle w:val="Footer"/>
      <w:ind w:left="-1276"/>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D23" w:rsidRPr="00120A01" w14:paraId="7538CB5E" w14:textId="77777777">
    <w:pPr>
      <w:pStyle w:val="Header"/>
      <w:jc w:val="right"/>
    </w:pPr>
    <w:r w:rsidRPr="00120A01">
      <w:t>Vinje kommune</w:t>
    </w:r>
  </w:p>
  <w:p w:rsidR="00022151" w:rsidRPr="00120A01" w14:paraId="1EDED5E1" w14:textId="77777777">
    <w:pPr>
      <w:pStyle w:val="Header"/>
      <w:jc w:val="right"/>
    </w:pPr>
    <w:r w:rsidRPr="00120A01">
      <w:t xml:space="preserve">Side </w:t>
    </w:r>
    <w:r w:rsidRPr="00120A01">
      <w:fldChar w:fldCharType="begin"/>
    </w:r>
    <w:r w:rsidRPr="00120A01">
      <w:instrText xml:space="preserve"> PAGE   \* MERGEFORMAT </w:instrText>
    </w:r>
    <w:r w:rsidRPr="00120A01">
      <w:fldChar w:fldCharType="separate"/>
    </w:r>
    <w:r w:rsidRPr="00120A01" w:rsidR="00BE0AC4">
      <w:t>2</w:t>
    </w:r>
    <w:r w:rsidRPr="00120A01">
      <w:fldChar w:fldCharType="end"/>
    </w:r>
    <w:r w:rsidRPr="00120A01">
      <w:t>/</w:t>
    </w:r>
    <w:r w:rsidRPr="00120A01" w:rsidR="0078390D">
      <w:fldChar w:fldCharType="begin"/>
    </w:r>
    <w:r>
      <w:instrText xml:space="preserve"> NUMPAGES   \* MERGEFORMAT </w:instrText>
    </w:r>
    <w:r w:rsidRPr="00120A01" w:rsidR="0078390D">
      <w:fldChar w:fldCharType="separate"/>
    </w:r>
    <w:r w:rsidRPr="00120A01" w:rsidR="0078390D">
      <w:t>1</w:t>
    </w:r>
    <w:r w:rsidRPr="00120A01" w:rsidR="0078390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0E51" w:rsidRPr="00120A01" w:rsidP="00450E51" w14:paraId="65470EA3" w14:textId="77777777">
    <w:pPr>
      <w:pStyle w:val="Header"/>
      <w:tabs>
        <w:tab w:val="left" w:pos="3210"/>
        <w:tab w:val="clear" w:pos="4536"/>
        <w:tab w:val="clear" w:pos="9072"/>
      </w:tabs>
    </w:pPr>
    <w:r w:rsidRPr="00120A01">
      <w:tab/>
    </w:r>
  </w:p>
  <w:tbl>
    <w:tblPr>
      <w:tblW w:w="9940" w:type="dxa"/>
      <w:tblInd w:w="-284" w:type="dxa"/>
      <w:tblLook w:val="00A0"/>
    </w:tblPr>
    <w:tblGrid>
      <w:gridCol w:w="6663"/>
      <w:gridCol w:w="3277"/>
    </w:tblGrid>
    <w:tr w14:paraId="1E285F80" w14:textId="77777777" w:rsidTr="00E41AAC">
      <w:tblPrEx>
        <w:tblW w:w="9940" w:type="dxa"/>
        <w:tblInd w:w="-284" w:type="dxa"/>
        <w:tblLook w:val="00A0"/>
      </w:tblPrEx>
      <w:trPr>
        <w:trHeight w:hRule="exact" w:val="1428"/>
      </w:trPr>
      <w:tc>
        <w:tcPr>
          <w:tcW w:w="6663" w:type="dxa"/>
        </w:tcPr>
        <w:p w:rsidR="00450E51" w:rsidRPr="00120A01" w:rsidP="00450E51" w14:paraId="72096A50" w14:textId="77777777">
          <w:pPr>
            <w:rPr>
              <w:rFonts w:asciiTheme="minorHAnsi" w:hAnsiTheme="minorHAnsi" w:cstheme="minorHAnsi"/>
              <w:sz w:val="18"/>
              <w:szCs w:val="18"/>
            </w:rPr>
          </w:pPr>
          <w:bookmarkStart w:id="11" w:name="_Hlk182628927"/>
          <w:r w:rsidRPr="00120A01">
            <w:rPr>
              <w:rFonts w:asciiTheme="minorHAnsi" w:hAnsiTheme="minorHAnsi" w:cstheme="minorHAnsi"/>
              <w:sz w:val="18"/>
              <w:szCs w:val="18"/>
            </w:rPr>
            <w:t>Arkivkode:</w:t>
          </w:r>
          <w:r w:rsidRPr="00120A01" w:rsidR="00806FB2">
            <w:rPr>
              <w:rFonts w:asciiTheme="minorHAnsi" w:hAnsiTheme="minorHAnsi" w:cstheme="minorHAnsi"/>
              <w:sz w:val="18"/>
              <w:szCs w:val="18"/>
            </w:rPr>
            <w:t xml:space="preserve"> </w:t>
          </w:r>
          <w:r w:rsidRPr="00120A01">
            <w:rPr>
              <w:rFonts w:asciiTheme="minorHAnsi" w:hAnsiTheme="minorHAnsi" w:cstheme="minorHAnsi"/>
              <w:sz w:val="18"/>
              <w:szCs w:val="18"/>
            </w:rPr>
            <w:t xml:space="preserve"> </w:t>
          </w:r>
          <w:bookmarkStart w:id="12" w:name="Primærklassering"/>
          <w:r w:rsidRPr="00120A01">
            <w:rPr>
              <w:rFonts w:asciiTheme="minorHAnsi" w:hAnsiTheme="minorHAnsi" w:cstheme="minorHAnsi"/>
              <w:sz w:val="18"/>
              <w:szCs w:val="18"/>
            </w:rPr>
            <w:t>20220001</w:t>
          </w:r>
          <w:bookmarkEnd w:id="12"/>
        </w:p>
        <w:p w:rsidR="00450E51" w:rsidRPr="00120A01" w:rsidP="00450E51" w14:paraId="6E407CDD" w14:textId="77777777">
          <w:pPr>
            <w:rPr>
              <w:rFonts w:asciiTheme="minorHAnsi" w:hAnsiTheme="minorHAnsi" w:cstheme="minorHAnsi"/>
              <w:sz w:val="18"/>
              <w:szCs w:val="18"/>
            </w:rPr>
          </w:pPr>
          <w:r w:rsidRPr="00120A01">
            <w:rPr>
              <w:rFonts w:asciiTheme="minorHAnsi" w:hAnsiTheme="minorHAnsi" w:cstheme="minorHAnsi"/>
              <w:sz w:val="18"/>
              <w:szCs w:val="18"/>
            </w:rPr>
            <w:t>Saksnr</w:t>
          </w:r>
          <w:r w:rsidRPr="00120A01">
            <w:rPr>
              <w:rFonts w:asciiTheme="minorHAnsi" w:hAnsiTheme="minorHAnsi" w:cstheme="minorHAnsi"/>
              <w:sz w:val="18"/>
              <w:szCs w:val="18"/>
            </w:rPr>
            <w:t xml:space="preserve">.:  </w:t>
          </w:r>
          <w:r w:rsidRPr="00120A01">
            <w:rPr>
              <w:rFonts w:asciiTheme="minorHAnsi" w:hAnsiTheme="minorHAnsi" w:cstheme="minorHAnsi"/>
              <w:sz w:val="18"/>
              <w:szCs w:val="18"/>
            </w:rPr>
            <w:tab/>
          </w:r>
          <w:bookmarkStart w:id="13" w:name="SAKSNR"/>
          <w:r w:rsidRPr="00120A01">
            <w:rPr>
              <w:rFonts w:asciiTheme="minorHAnsi" w:hAnsiTheme="minorHAnsi" w:cstheme="minorHAnsi"/>
              <w:sz w:val="18"/>
              <w:szCs w:val="18"/>
            </w:rPr>
            <w:t>2022/4994</w:t>
          </w:r>
          <w:bookmarkEnd w:id="13"/>
          <w:r w:rsidRPr="00120A01">
            <w:rPr>
              <w:rFonts w:asciiTheme="minorHAnsi" w:hAnsiTheme="minorHAnsi" w:cstheme="minorHAnsi"/>
              <w:sz w:val="18"/>
              <w:szCs w:val="18"/>
            </w:rPr>
            <w:t>-</w:t>
          </w:r>
          <w:bookmarkStart w:id="14" w:name="NRISAK"/>
          <w:r w:rsidRPr="00120A01">
            <w:rPr>
              <w:rFonts w:asciiTheme="minorHAnsi" w:hAnsiTheme="minorHAnsi" w:cstheme="minorHAnsi"/>
              <w:sz w:val="18"/>
              <w:szCs w:val="18"/>
            </w:rPr>
            <w:t>131</w:t>
          </w:r>
          <w:bookmarkEnd w:id="14"/>
        </w:p>
        <w:p w:rsidR="00450E51" w:rsidRPr="00120A01" w:rsidP="00450E51" w14:paraId="3B032997" w14:textId="4457CF00">
          <w:pPr>
            <w:rPr>
              <w:rFonts w:asciiTheme="minorHAnsi" w:hAnsiTheme="minorHAnsi" w:cstheme="minorHAnsi"/>
              <w:sz w:val="18"/>
              <w:szCs w:val="18"/>
            </w:rPr>
          </w:pPr>
          <w:r w:rsidRPr="00120A01">
            <w:rPr>
              <w:rFonts w:asciiTheme="minorHAnsi" w:hAnsiTheme="minorHAnsi" w:cstheme="minorHAnsi"/>
              <w:sz w:val="18"/>
              <w:szCs w:val="18"/>
            </w:rPr>
            <w:t>Sakshands.:</w:t>
          </w:r>
          <w:bookmarkStart w:id="15" w:name="SAKSBEHANDLERNAVN"/>
          <w:r w:rsidR="003456FB">
            <w:rPr>
              <w:rFonts w:asciiTheme="minorHAnsi" w:hAnsiTheme="minorHAnsi" w:cstheme="minorHAnsi"/>
              <w:sz w:val="18"/>
              <w:szCs w:val="18"/>
            </w:rPr>
            <w:t xml:space="preserve"> </w:t>
          </w:r>
          <w:r w:rsidR="000F7C90">
            <w:rPr>
              <w:rFonts w:asciiTheme="minorHAnsi" w:hAnsiTheme="minorHAnsi" w:cstheme="minorHAnsi"/>
              <w:sz w:val="18"/>
              <w:szCs w:val="18"/>
            </w:rPr>
            <w:t>Jan Myrekrok</w:t>
          </w:r>
          <w:bookmarkEnd w:id="15"/>
          <w:r w:rsidRPr="00120A01">
            <w:rPr>
              <w:rFonts w:asciiTheme="minorHAnsi" w:hAnsiTheme="minorHAnsi" w:cstheme="minorHAnsi"/>
              <w:sz w:val="18"/>
              <w:szCs w:val="18"/>
            </w:rPr>
            <w:tab/>
          </w:r>
        </w:p>
        <w:p w:rsidR="00450E51" w:rsidRPr="00120A01" w:rsidP="00450E51" w14:paraId="035F50B6" w14:textId="77777777">
          <w:pPr>
            <w:rPr>
              <w:rFonts w:cs="Arial"/>
              <w:sz w:val="28"/>
              <w:szCs w:val="28"/>
            </w:rPr>
          </w:pPr>
          <w:r w:rsidRPr="00120A01">
            <w:rPr>
              <w:rFonts w:asciiTheme="minorHAnsi" w:hAnsiTheme="minorHAnsi" w:cstheme="minorHAnsi"/>
              <w:sz w:val="18"/>
              <w:szCs w:val="18"/>
            </w:rPr>
            <w:t>Dato:</w:t>
          </w:r>
          <w:r w:rsidRPr="00120A01">
            <w:rPr>
              <w:sz w:val="18"/>
              <w:szCs w:val="18"/>
            </w:rPr>
            <w:t xml:space="preserve">      </w:t>
          </w:r>
          <w:r w:rsidRPr="00120A01">
            <w:rPr>
              <w:sz w:val="18"/>
              <w:szCs w:val="18"/>
            </w:rPr>
            <w:tab/>
          </w:r>
          <w:bookmarkStart w:id="16" w:name="Brevdato"/>
          <w:r w:rsidRPr="00120A01">
            <w:rPr>
              <w:sz w:val="18"/>
              <w:szCs w:val="18"/>
            </w:rPr>
            <w:t>06.03.2026</w:t>
          </w:r>
          <w:bookmarkEnd w:id="16"/>
          <w:r w:rsidRPr="00120A01">
            <w:rPr>
              <w:sz w:val="18"/>
              <w:szCs w:val="18"/>
            </w:rPr>
            <w:tab/>
            <w:t xml:space="preserve"> </w:t>
          </w:r>
        </w:p>
      </w:tc>
      <w:tc>
        <w:tcPr>
          <w:tcW w:w="3277" w:type="dxa"/>
        </w:tcPr>
        <w:p w:rsidR="00450E51" w:rsidRPr="00120A01" w:rsidP="00450E51" w14:paraId="7AA81B33" w14:textId="77777777">
          <w:pPr>
            <w:rPr>
              <w:rFonts w:cs="Arial"/>
            </w:rPr>
          </w:pPr>
          <w:r w:rsidRPr="00120A01">
            <w:rPr>
              <w:noProof/>
            </w:rPr>
            <w:drawing>
              <wp:inline distT="0" distB="0" distL="0" distR="0">
                <wp:extent cx="1940400" cy="752400"/>
                <wp:effectExtent l="0" t="0" r="3175" b="0"/>
                <wp:docPr id="1997722751" name="Bilde 1997722751" descr="Logo for Vinje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22751" name="Bilde 1" descr="Logo for Vinje kommune"/>
                        <pic:cNvPicPr/>
                      </pic:nvPicPr>
                      <pic:blipFill>
                        <a:blip xmlns:r="http://schemas.openxmlformats.org/officeDocument/2006/relationships" r:embed="rId1"/>
                        <a:stretch>
                          <a:fillRect/>
                        </a:stretch>
                      </pic:blipFill>
                      <pic:spPr>
                        <a:xfrm>
                          <a:off x="0" y="0"/>
                          <a:ext cx="1940400" cy="752400"/>
                        </a:xfrm>
                        <a:prstGeom prst="rect">
                          <a:avLst/>
                        </a:prstGeom>
                      </pic:spPr>
                    </pic:pic>
                  </a:graphicData>
                </a:graphic>
              </wp:inline>
            </w:drawing>
          </w:r>
        </w:p>
      </w:tc>
    </w:tr>
    <w:bookmarkEnd w:id="11"/>
  </w:tbl>
  <w:p w:rsidR="00022151" w:rsidRPr="00120A01" w:rsidP="00450E51" w14:paraId="0DE4819A" w14:textId="77777777">
    <w:pPr>
      <w:pStyle w:val="Header"/>
      <w:tabs>
        <w:tab w:val="left" w:pos="3210"/>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ete 992512800" o:spid="_x0000_i1025" type="#_x0000_t75" alt="Saksbehandlers telefon" style="width:7.7pt;height:10.5pt" o:bullet="t">
        <v:imagedata r:id="rId1" o:title="Saksbehandlers telefon" cropright="-53703f"/>
      </v:shape>
    </w:pict>
  </w:numPicBullet>
  <w:abstractNum w:abstractNumId="0">
    <w:nsid w:val="11D308EB"/>
    <w:multiLevelType w:val="multilevel"/>
    <w:tmpl w:val="B83C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D16BBC"/>
    <w:multiLevelType w:val="multilevel"/>
    <w:tmpl w:val="926E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E15D77"/>
    <w:multiLevelType w:val="singleLevel"/>
    <w:tmpl w:val="E760FA8C"/>
    <w:lvl w:ilvl="0">
      <w:start w:val="3"/>
      <w:numFmt w:val="bullet"/>
      <w:lvlText w:val="-"/>
      <w:lvlJc w:val="left"/>
      <w:pPr>
        <w:tabs>
          <w:tab w:val="num" w:pos="405"/>
        </w:tabs>
        <w:ind w:left="405" w:hanging="360"/>
      </w:pPr>
    </w:lvl>
  </w:abstractNum>
  <w:abstractNum w:abstractNumId="3">
    <w:nsid w:val="41BF10C5"/>
    <w:multiLevelType w:val="hybridMultilevel"/>
    <w:tmpl w:val="A288CC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5DC1594"/>
    <w:multiLevelType w:val="multilevel"/>
    <w:tmpl w:val="E90A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9B3C5F"/>
    <w:multiLevelType w:val="hybridMultilevel"/>
    <w:tmpl w:val="928223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1933141">
    <w:abstractNumId w:val="2"/>
  </w:num>
  <w:num w:numId="2" w16cid:durableId="39745077">
    <w:abstractNumId w:val="4"/>
  </w:num>
  <w:num w:numId="3" w16cid:durableId="1938827650">
    <w:abstractNumId w:val="1"/>
  </w:num>
  <w:num w:numId="4" w16cid:durableId="1424451652">
    <w:abstractNumId w:val="0"/>
  </w:num>
  <w:num w:numId="5" w16cid:durableId="305430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9379633">
    <w:abstractNumId w:val="3"/>
  </w:num>
  <w:num w:numId="7" w16cid:durableId="1661427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E4"/>
    <w:rsid w:val="00003BE6"/>
    <w:rsid w:val="0001122B"/>
    <w:rsid w:val="00022151"/>
    <w:rsid w:val="00023761"/>
    <w:rsid w:val="00024FAD"/>
    <w:rsid w:val="00026672"/>
    <w:rsid w:val="00036C7A"/>
    <w:rsid w:val="00042EAB"/>
    <w:rsid w:val="00045DD1"/>
    <w:rsid w:val="00062A70"/>
    <w:rsid w:val="00072110"/>
    <w:rsid w:val="00074B8D"/>
    <w:rsid w:val="000957CD"/>
    <w:rsid w:val="000964DC"/>
    <w:rsid w:val="000A7356"/>
    <w:rsid w:val="000B1CD0"/>
    <w:rsid w:val="000B1EB7"/>
    <w:rsid w:val="000D7D01"/>
    <w:rsid w:val="000E0158"/>
    <w:rsid w:val="000E4B19"/>
    <w:rsid w:val="000F7C90"/>
    <w:rsid w:val="00101B33"/>
    <w:rsid w:val="001071F3"/>
    <w:rsid w:val="0010737D"/>
    <w:rsid w:val="00111D0E"/>
    <w:rsid w:val="00120A01"/>
    <w:rsid w:val="00127DD4"/>
    <w:rsid w:val="00131BF8"/>
    <w:rsid w:val="00134BC8"/>
    <w:rsid w:val="001507A2"/>
    <w:rsid w:val="00156140"/>
    <w:rsid w:val="00157A97"/>
    <w:rsid w:val="00160C36"/>
    <w:rsid w:val="00180F5B"/>
    <w:rsid w:val="001A0783"/>
    <w:rsid w:val="001A75E1"/>
    <w:rsid w:val="001C39FA"/>
    <w:rsid w:val="001E3946"/>
    <w:rsid w:val="00200F72"/>
    <w:rsid w:val="00201D8C"/>
    <w:rsid w:val="00214692"/>
    <w:rsid w:val="00217F26"/>
    <w:rsid w:val="002233B7"/>
    <w:rsid w:val="0022716C"/>
    <w:rsid w:val="002401EB"/>
    <w:rsid w:val="002455DA"/>
    <w:rsid w:val="0025752D"/>
    <w:rsid w:val="00262D64"/>
    <w:rsid w:val="00262ECC"/>
    <w:rsid w:val="00263D19"/>
    <w:rsid w:val="00270226"/>
    <w:rsid w:val="00291508"/>
    <w:rsid w:val="00294E53"/>
    <w:rsid w:val="002A28FA"/>
    <w:rsid w:val="002A6192"/>
    <w:rsid w:val="002C2A5B"/>
    <w:rsid w:val="002D447D"/>
    <w:rsid w:val="002E13AF"/>
    <w:rsid w:val="002E2EC7"/>
    <w:rsid w:val="002E3C46"/>
    <w:rsid w:val="002F0349"/>
    <w:rsid w:val="002F2588"/>
    <w:rsid w:val="002F6C9F"/>
    <w:rsid w:val="0030373B"/>
    <w:rsid w:val="003073EE"/>
    <w:rsid w:val="00307CE5"/>
    <w:rsid w:val="00312E72"/>
    <w:rsid w:val="0031375C"/>
    <w:rsid w:val="00316D7F"/>
    <w:rsid w:val="003456FB"/>
    <w:rsid w:val="003506EF"/>
    <w:rsid w:val="00354FC9"/>
    <w:rsid w:val="00374D19"/>
    <w:rsid w:val="0039341B"/>
    <w:rsid w:val="003A228D"/>
    <w:rsid w:val="003A2724"/>
    <w:rsid w:val="003B4EB6"/>
    <w:rsid w:val="003D4175"/>
    <w:rsid w:val="003D5BDD"/>
    <w:rsid w:val="003D7E27"/>
    <w:rsid w:val="003E11BA"/>
    <w:rsid w:val="003F6DEE"/>
    <w:rsid w:val="00412AAA"/>
    <w:rsid w:val="00422986"/>
    <w:rsid w:val="0044394B"/>
    <w:rsid w:val="00445239"/>
    <w:rsid w:val="00447A0F"/>
    <w:rsid w:val="00450E51"/>
    <w:rsid w:val="0045347C"/>
    <w:rsid w:val="00466354"/>
    <w:rsid w:val="0047024B"/>
    <w:rsid w:val="004729B8"/>
    <w:rsid w:val="004776A4"/>
    <w:rsid w:val="00484E9E"/>
    <w:rsid w:val="00487686"/>
    <w:rsid w:val="00487B91"/>
    <w:rsid w:val="004B19F9"/>
    <w:rsid w:val="004B6D12"/>
    <w:rsid w:val="004C5EC3"/>
    <w:rsid w:val="004D18C9"/>
    <w:rsid w:val="004D3ACD"/>
    <w:rsid w:val="004D3D57"/>
    <w:rsid w:val="004D6A1A"/>
    <w:rsid w:val="004E0433"/>
    <w:rsid w:val="004E0AA2"/>
    <w:rsid w:val="004E2FA7"/>
    <w:rsid w:val="004F535B"/>
    <w:rsid w:val="004F5F9E"/>
    <w:rsid w:val="00501F0B"/>
    <w:rsid w:val="00503BA5"/>
    <w:rsid w:val="00506323"/>
    <w:rsid w:val="00513074"/>
    <w:rsid w:val="00514FC9"/>
    <w:rsid w:val="0052756C"/>
    <w:rsid w:val="00534443"/>
    <w:rsid w:val="00560FBF"/>
    <w:rsid w:val="0056358F"/>
    <w:rsid w:val="00565A9B"/>
    <w:rsid w:val="00567F23"/>
    <w:rsid w:val="005A28E3"/>
    <w:rsid w:val="005B20DD"/>
    <w:rsid w:val="005B4B40"/>
    <w:rsid w:val="005C29D5"/>
    <w:rsid w:val="005D154F"/>
    <w:rsid w:val="005D33F5"/>
    <w:rsid w:val="005D4D92"/>
    <w:rsid w:val="005E17A4"/>
    <w:rsid w:val="00607351"/>
    <w:rsid w:val="00614A1B"/>
    <w:rsid w:val="006228B3"/>
    <w:rsid w:val="00623422"/>
    <w:rsid w:val="00625907"/>
    <w:rsid w:val="00632561"/>
    <w:rsid w:val="006407E9"/>
    <w:rsid w:val="00641833"/>
    <w:rsid w:val="0065632B"/>
    <w:rsid w:val="00676688"/>
    <w:rsid w:val="00681712"/>
    <w:rsid w:val="006A2B0A"/>
    <w:rsid w:val="006B369C"/>
    <w:rsid w:val="006D7498"/>
    <w:rsid w:val="006E3C7A"/>
    <w:rsid w:val="006F0BEC"/>
    <w:rsid w:val="006F1894"/>
    <w:rsid w:val="006F5F3D"/>
    <w:rsid w:val="00734DC3"/>
    <w:rsid w:val="00737954"/>
    <w:rsid w:val="00744B75"/>
    <w:rsid w:val="00744E02"/>
    <w:rsid w:val="007559AB"/>
    <w:rsid w:val="00767BDD"/>
    <w:rsid w:val="007715CE"/>
    <w:rsid w:val="0078390D"/>
    <w:rsid w:val="00785D4F"/>
    <w:rsid w:val="007867F9"/>
    <w:rsid w:val="00791603"/>
    <w:rsid w:val="007C3141"/>
    <w:rsid w:val="007F250E"/>
    <w:rsid w:val="00806FB2"/>
    <w:rsid w:val="008532BC"/>
    <w:rsid w:val="008560D2"/>
    <w:rsid w:val="00856E47"/>
    <w:rsid w:val="0087250A"/>
    <w:rsid w:val="00884AF3"/>
    <w:rsid w:val="008A4503"/>
    <w:rsid w:val="008B0FEE"/>
    <w:rsid w:val="008B4838"/>
    <w:rsid w:val="008F343A"/>
    <w:rsid w:val="00901191"/>
    <w:rsid w:val="009038C3"/>
    <w:rsid w:val="0093373F"/>
    <w:rsid w:val="0094061A"/>
    <w:rsid w:val="00953594"/>
    <w:rsid w:val="00962867"/>
    <w:rsid w:val="009707EF"/>
    <w:rsid w:val="00977C5D"/>
    <w:rsid w:val="009857E2"/>
    <w:rsid w:val="0099048C"/>
    <w:rsid w:val="00990D7B"/>
    <w:rsid w:val="00993CBF"/>
    <w:rsid w:val="00994071"/>
    <w:rsid w:val="009A2A9F"/>
    <w:rsid w:val="009C4240"/>
    <w:rsid w:val="009D3F07"/>
    <w:rsid w:val="00A00D52"/>
    <w:rsid w:val="00A12F34"/>
    <w:rsid w:val="00A16C77"/>
    <w:rsid w:val="00A56DA7"/>
    <w:rsid w:val="00A56FD7"/>
    <w:rsid w:val="00A8621B"/>
    <w:rsid w:val="00A9319C"/>
    <w:rsid w:val="00AB08B5"/>
    <w:rsid w:val="00AC5DEA"/>
    <w:rsid w:val="00AC733E"/>
    <w:rsid w:val="00AD487A"/>
    <w:rsid w:val="00AD5635"/>
    <w:rsid w:val="00AE0AFC"/>
    <w:rsid w:val="00AE3284"/>
    <w:rsid w:val="00AE7465"/>
    <w:rsid w:val="00AF1BD1"/>
    <w:rsid w:val="00B07192"/>
    <w:rsid w:val="00B101EC"/>
    <w:rsid w:val="00B26CC5"/>
    <w:rsid w:val="00B35EE4"/>
    <w:rsid w:val="00B50560"/>
    <w:rsid w:val="00B5420A"/>
    <w:rsid w:val="00B573ED"/>
    <w:rsid w:val="00B638A3"/>
    <w:rsid w:val="00B7638C"/>
    <w:rsid w:val="00B9193C"/>
    <w:rsid w:val="00B9479A"/>
    <w:rsid w:val="00BA7ED4"/>
    <w:rsid w:val="00BD002C"/>
    <w:rsid w:val="00BE0AC4"/>
    <w:rsid w:val="00BE1520"/>
    <w:rsid w:val="00BE68D8"/>
    <w:rsid w:val="00BF6698"/>
    <w:rsid w:val="00C0117E"/>
    <w:rsid w:val="00C112A6"/>
    <w:rsid w:val="00C31875"/>
    <w:rsid w:val="00C325AA"/>
    <w:rsid w:val="00C32953"/>
    <w:rsid w:val="00C51CC2"/>
    <w:rsid w:val="00C64733"/>
    <w:rsid w:val="00C71812"/>
    <w:rsid w:val="00C81E8B"/>
    <w:rsid w:val="00C837DF"/>
    <w:rsid w:val="00CA60CC"/>
    <w:rsid w:val="00CB513B"/>
    <w:rsid w:val="00CC2242"/>
    <w:rsid w:val="00CE170B"/>
    <w:rsid w:val="00CE709C"/>
    <w:rsid w:val="00CF5FCD"/>
    <w:rsid w:val="00CF7D4D"/>
    <w:rsid w:val="00D113E5"/>
    <w:rsid w:val="00D128E2"/>
    <w:rsid w:val="00D13C46"/>
    <w:rsid w:val="00D15FB0"/>
    <w:rsid w:val="00D20141"/>
    <w:rsid w:val="00D2276A"/>
    <w:rsid w:val="00D52C2E"/>
    <w:rsid w:val="00D66928"/>
    <w:rsid w:val="00D77321"/>
    <w:rsid w:val="00D834EE"/>
    <w:rsid w:val="00DA2166"/>
    <w:rsid w:val="00DB422B"/>
    <w:rsid w:val="00DC0D61"/>
    <w:rsid w:val="00DC37D1"/>
    <w:rsid w:val="00DD1515"/>
    <w:rsid w:val="00DD1A4A"/>
    <w:rsid w:val="00DD340A"/>
    <w:rsid w:val="00DD5703"/>
    <w:rsid w:val="00DE4763"/>
    <w:rsid w:val="00DF1A73"/>
    <w:rsid w:val="00DF2152"/>
    <w:rsid w:val="00E02DE1"/>
    <w:rsid w:val="00E0597F"/>
    <w:rsid w:val="00E26EC7"/>
    <w:rsid w:val="00E278C1"/>
    <w:rsid w:val="00E339C7"/>
    <w:rsid w:val="00E41AAC"/>
    <w:rsid w:val="00E42AD4"/>
    <w:rsid w:val="00E44B92"/>
    <w:rsid w:val="00E565FF"/>
    <w:rsid w:val="00E56863"/>
    <w:rsid w:val="00E56F6F"/>
    <w:rsid w:val="00E575F3"/>
    <w:rsid w:val="00E61AC8"/>
    <w:rsid w:val="00E64673"/>
    <w:rsid w:val="00E71F08"/>
    <w:rsid w:val="00E75732"/>
    <w:rsid w:val="00E83D5C"/>
    <w:rsid w:val="00E85BF3"/>
    <w:rsid w:val="00E93667"/>
    <w:rsid w:val="00E96FA2"/>
    <w:rsid w:val="00EA681D"/>
    <w:rsid w:val="00EB4BA9"/>
    <w:rsid w:val="00EB4D23"/>
    <w:rsid w:val="00EB5B6D"/>
    <w:rsid w:val="00EC0E3C"/>
    <w:rsid w:val="00EE0072"/>
    <w:rsid w:val="00EE2052"/>
    <w:rsid w:val="00EE77B8"/>
    <w:rsid w:val="00EF30FD"/>
    <w:rsid w:val="00F02EB5"/>
    <w:rsid w:val="00F041CC"/>
    <w:rsid w:val="00F1196B"/>
    <w:rsid w:val="00F1235F"/>
    <w:rsid w:val="00F17BA6"/>
    <w:rsid w:val="00F30734"/>
    <w:rsid w:val="00F30742"/>
    <w:rsid w:val="00F45A34"/>
    <w:rsid w:val="00F60F2B"/>
    <w:rsid w:val="00F6697C"/>
    <w:rsid w:val="00F670C4"/>
    <w:rsid w:val="00F72E5E"/>
    <w:rsid w:val="00F937C8"/>
    <w:rsid w:val="00FA3711"/>
    <w:rsid w:val="00FA5909"/>
    <w:rsid w:val="00FA7363"/>
    <w:rsid w:val="00FB68EF"/>
    <w:rsid w:val="00FD0F82"/>
    <w:rsid w:val="00FD7523"/>
    <w:rsid w:val="00FF3C25"/>
  </w:rsids>
  <m:mathPr>
    <m:mathFont m:val="Cambria Math"/>
  </m:mathPr>
  <w:themeFontLang w:val="nn-NO"/>
  <w:clrSchemeMapping w:bg1="light1" w:t1="dark1" w:bg2="light2" w:t2="dark2" w:accent1="accent1" w:accent2="accent2" w:accent3="accent3" w:accent4="accent4" w:accent5="accent5" w:accent6="accent6" w:hyperlink="hyperlink" w:followedHyperlink="followedHyperlink"/>
  <w14:docId w14:val="60C5B301"/>
  <w15:docId w15:val="{AB447016-CE64-4DF4-A7BA-0977E759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CC5"/>
    <w:pPr>
      <w:spacing w:after="0" w:line="240" w:lineRule="auto"/>
    </w:pPr>
    <w:rPr>
      <w:rFonts w:ascii="Calibri" w:hAnsi="Calibri"/>
      <w:sz w:val="24"/>
      <w14:ligatures w14:val="standardContextual"/>
    </w:rPr>
  </w:style>
  <w:style w:type="paragraph" w:styleId="Heading1">
    <w:name w:val="heading 1"/>
    <w:basedOn w:val="Normal"/>
    <w:next w:val="Normal"/>
    <w:link w:val="Overskrift1Teikn"/>
    <w:qFormat/>
    <w:rsid w:val="00BE1520"/>
    <w:pPr>
      <w:keepNext/>
      <w:spacing w:before="240" w:after="240"/>
      <w:outlineLvl w:val="0"/>
    </w:pPr>
    <w:rPr>
      <w:rFonts w:eastAsia="Times New Roman" w:cs="Arial"/>
      <w:b/>
      <w:bCs/>
      <w:kern w:val="32"/>
      <w:sz w:val="32"/>
      <w:szCs w:val="28"/>
      <w:lang w:eastAsia="nb-NO"/>
    </w:rPr>
  </w:style>
  <w:style w:type="paragraph" w:styleId="Heading2">
    <w:name w:val="heading 2"/>
    <w:basedOn w:val="Normal"/>
    <w:next w:val="Normal"/>
    <w:link w:val="Overskrift2Teikn"/>
    <w:uiPriority w:val="9"/>
    <w:unhideWhenUsed/>
    <w:qFormat/>
    <w:rsid w:val="00F02EB5"/>
    <w:pPr>
      <w:keepNext/>
      <w:keepLines/>
      <w:spacing w:before="40"/>
      <w:outlineLvl w:val="1"/>
    </w:pPr>
    <w:rPr>
      <w:rFonts w:eastAsiaTheme="majorEastAsia" w:cstheme="majorBidi"/>
      <w:b/>
      <w:sz w:val="26"/>
      <w:szCs w:val="26"/>
    </w:rPr>
  </w:style>
  <w:style w:type="paragraph" w:styleId="Heading3">
    <w:name w:val="heading 3"/>
    <w:basedOn w:val="Normal"/>
    <w:next w:val="Normal"/>
    <w:link w:val="Overskrift3Teikn"/>
    <w:uiPriority w:val="9"/>
    <w:semiHidden/>
    <w:unhideWhenUsed/>
    <w:qFormat/>
    <w:rsid w:val="00DD1515"/>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ikn"/>
    <w:rsid w:val="006F5F3D"/>
    <w:pPr>
      <w:tabs>
        <w:tab w:val="center" w:pos="4536"/>
        <w:tab w:val="right" w:pos="9072"/>
      </w:tabs>
    </w:pPr>
    <w:rPr>
      <w:rFonts w:eastAsia="Times New Roman" w:cs="Times New Roman"/>
      <w:sz w:val="20"/>
    </w:rPr>
  </w:style>
  <w:style w:type="character" w:customStyle="1" w:styleId="TopptekstTeikn">
    <w:name w:val="Topptekst Teikn"/>
    <w:basedOn w:val="DefaultParagraphFont"/>
    <w:link w:val="Header"/>
    <w:uiPriority w:val="99"/>
    <w:rsid w:val="006F5F3D"/>
    <w:rPr>
      <w:rFonts w:ascii="Arial" w:eastAsia="Times New Roman" w:hAnsi="Arial" w:cs="Times New Roman"/>
      <w:sz w:val="20"/>
    </w:rPr>
  </w:style>
  <w:style w:type="paragraph" w:styleId="Footer">
    <w:name w:val="footer"/>
    <w:basedOn w:val="Normal"/>
    <w:link w:val="BotntekstTeikn"/>
    <w:uiPriority w:val="99"/>
    <w:rsid w:val="006F5F3D"/>
    <w:pPr>
      <w:tabs>
        <w:tab w:val="center" w:pos="4536"/>
        <w:tab w:val="right" w:pos="9072"/>
      </w:tabs>
      <w:spacing w:line="264" w:lineRule="auto"/>
    </w:pPr>
    <w:rPr>
      <w:rFonts w:eastAsia="Times New Roman" w:cs="Times New Roman"/>
      <w:sz w:val="14"/>
    </w:rPr>
  </w:style>
  <w:style w:type="character" w:customStyle="1" w:styleId="BotntekstTeikn">
    <w:name w:val="Botntekst Teikn"/>
    <w:basedOn w:val="DefaultParagraphFont"/>
    <w:link w:val="Footer"/>
    <w:uiPriority w:val="99"/>
    <w:rsid w:val="006F5F3D"/>
    <w:rPr>
      <w:rFonts w:ascii="Arial" w:eastAsia="Times New Roman" w:hAnsi="Arial" w:cs="Times New Roman"/>
      <w:sz w:val="14"/>
    </w:rPr>
  </w:style>
  <w:style w:type="paragraph" w:customStyle="1" w:styleId="Informasjonstekstdato">
    <w:name w:val="Informasjonstekst/dato"/>
    <w:uiPriority w:val="99"/>
    <w:rsid w:val="006F5F3D"/>
    <w:pPr>
      <w:overflowPunct w:val="0"/>
      <w:autoSpaceDE w:val="0"/>
      <w:autoSpaceDN w:val="0"/>
      <w:adjustRightInd w:val="0"/>
      <w:spacing w:after="0" w:line="200" w:lineRule="exact"/>
      <w:jc w:val="right"/>
      <w:textAlignment w:val="baseline"/>
    </w:pPr>
    <w:rPr>
      <w:rFonts w:ascii="Arial" w:eastAsia="Times New Roman" w:hAnsi="Arial" w:cs="Times New Roman"/>
      <w:noProof/>
      <w:sz w:val="16"/>
      <w:szCs w:val="20"/>
      <w:lang w:val="nb-NO" w:eastAsia="nb-NO"/>
    </w:rPr>
  </w:style>
  <w:style w:type="paragraph" w:styleId="BalloonText">
    <w:name w:val="Balloon Text"/>
    <w:basedOn w:val="Normal"/>
    <w:link w:val="BobletekstTeikn"/>
    <w:uiPriority w:val="99"/>
    <w:semiHidden/>
    <w:unhideWhenUsed/>
    <w:rsid w:val="006F5F3D"/>
    <w:rPr>
      <w:rFonts w:ascii="Tahoma" w:hAnsi="Tahoma" w:cs="Tahoma"/>
      <w:sz w:val="16"/>
      <w:szCs w:val="16"/>
    </w:rPr>
  </w:style>
  <w:style w:type="character" w:customStyle="1" w:styleId="BobletekstTeikn">
    <w:name w:val="Bobletekst Teikn"/>
    <w:basedOn w:val="DefaultParagraphFont"/>
    <w:link w:val="BalloonText"/>
    <w:uiPriority w:val="99"/>
    <w:semiHidden/>
    <w:rsid w:val="006F5F3D"/>
    <w:rPr>
      <w:rFonts w:ascii="Tahoma" w:hAnsi="Tahoma" w:cs="Tahoma"/>
      <w:sz w:val="16"/>
      <w:szCs w:val="16"/>
    </w:rPr>
  </w:style>
  <w:style w:type="paragraph" w:customStyle="1" w:styleId="L7-arial16F">
    <w:name w:val="L7-arial 16F"/>
    <w:basedOn w:val="Normal"/>
    <w:rsid w:val="00127DD4"/>
    <w:pPr>
      <w:spacing w:before="120"/>
    </w:pPr>
    <w:rPr>
      <w:rFonts w:eastAsia="Times New Roman" w:cs="Arial"/>
      <w:b/>
      <w:sz w:val="32"/>
      <w:szCs w:val="32"/>
      <w:lang w:eastAsia="nb-NO"/>
    </w:rPr>
  </w:style>
  <w:style w:type="paragraph" w:customStyle="1" w:styleId="L7-arial11">
    <w:name w:val="L7-arial 11"/>
    <w:basedOn w:val="Normal"/>
    <w:rsid w:val="00127DD4"/>
    <w:rPr>
      <w:rFonts w:eastAsia="Times New Roman" w:cs="Arial"/>
      <w:lang w:eastAsia="nb-NO"/>
    </w:rPr>
  </w:style>
  <w:style w:type="paragraph" w:customStyle="1" w:styleId="L7-arial8F">
    <w:name w:val="L7-arial 8F"/>
    <w:basedOn w:val="Footer"/>
    <w:rsid w:val="00127DD4"/>
    <w:pPr>
      <w:spacing w:before="60" w:line="240" w:lineRule="auto"/>
    </w:pPr>
    <w:rPr>
      <w:rFonts w:cs="Arial"/>
      <w:sz w:val="16"/>
      <w:szCs w:val="24"/>
      <w:lang w:eastAsia="nb-NO"/>
    </w:rPr>
  </w:style>
  <w:style w:type="character" w:customStyle="1" w:styleId="Overskrift1Teikn">
    <w:name w:val="Overskrift 1 Teikn"/>
    <w:basedOn w:val="DefaultParagraphFont"/>
    <w:link w:val="Heading1"/>
    <w:rsid w:val="00BE1520"/>
    <w:rPr>
      <w:rFonts w:ascii="Arial" w:eastAsia="Times New Roman" w:hAnsi="Arial" w:cs="Arial"/>
      <w:b/>
      <w:bCs/>
      <w:noProof/>
      <w:kern w:val="32"/>
      <w:sz w:val="32"/>
      <w:szCs w:val="28"/>
      <w:lang w:eastAsia="nb-NO"/>
      <w14:ligatures w14:val="standardContextual"/>
    </w:rPr>
  </w:style>
  <w:style w:type="paragraph" w:styleId="BodyText">
    <w:name w:val="Body Text"/>
    <w:basedOn w:val="Normal"/>
    <w:link w:val="BrdtekstTeikn"/>
    <w:rsid w:val="0031375C"/>
    <w:rPr>
      <w:rFonts w:eastAsia="Times New Roman" w:cs="Times New Roman"/>
      <w:i/>
      <w:sz w:val="20"/>
      <w:szCs w:val="20"/>
      <w:lang w:eastAsia="nb-NO"/>
    </w:rPr>
  </w:style>
  <w:style w:type="character" w:customStyle="1" w:styleId="BrdtekstTeikn">
    <w:name w:val="Brødtekst Teikn"/>
    <w:basedOn w:val="DefaultParagraphFont"/>
    <w:link w:val="BodyText"/>
    <w:rsid w:val="0031375C"/>
    <w:rPr>
      <w:rFonts w:ascii="Arial" w:eastAsia="Times New Roman" w:hAnsi="Arial" w:cs="Times New Roman"/>
      <w:i/>
      <w:sz w:val="20"/>
      <w:szCs w:val="20"/>
      <w:lang w:eastAsia="nb-NO"/>
    </w:rPr>
  </w:style>
  <w:style w:type="paragraph" w:customStyle="1" w:styleId="journalpost">
    <w:name w:val="journalpost"/>
    <w:basedOn w:val="Heading1"/>
    <w:qFormat/>
    <w:rsid w:val="00AD5635"/>
    <w:rPr>
      <w:sz w:val="22"/>
    </w:rPr>
  </w:style>
  <w:style w:type="paragraph" w:customStyle="1" w:styleId="Metadata">
    <w:name w:val="Metadata"/>
    <w:basedOn w:val="Normal"/>
    <w:next w:val="Normal"/>
    <w:link w:val="MetadataTegn"/>
    <w:autoRedefine/>
    <w:qFormat/>
    <w:rsid w:val="002E3C46"/>
    <w:pPr>
      <w:outlineLvl w:val="2"/>
    </w:pPr>
    <w:rPr>
      <w:rFonts w:cs="Arial"/>
      <w14:ligatures w14:val="none"/>
    </w:rPr>
  </w:style>
  <w:style w:type="character" w:customStyle="1" w:styleId="MetadataTegn">
    <w:name w:val="Metadata Tegn"/>
    <w:basedOn w:val="DefaultParagraphFont"/>
    <w:link w:val="Metadata"/>
    <w:rsid w:val="002E3C46"/>
    <w:rPr>
      <w:rFonts w:ascii="Arial" w:hAnsi="Arial" w:cs="Arial"/>
      <w:color w:val="0073B3"/>
      <w:sz w:val="18"/>
    </w:rPr>
  </w:style>
  <w:style w:type="character" w:styleId="Hyperlink">
    <w:name w:val="Hyperlink"/>
    <w:basedOn w:val="DefaultParagraphFont"/>
    <w:uiPriority w:val="99"/>
    <w:unhideWhenUsed/>
    <w:rsid w:val="00262ECC"/>
    <w:rPr>
      <w:color w:val="0000FF" w:themeColor="hyperlink"/>
      <w:u w:val="single"/>
    </w:rPr>
  </w:style>
  <w:style w:type="table" w:styleId="TableGrid">
    <w:name w:val="Table Grid"/>
    <w:basedOn w:val="TableNormal"/>
    <w:uiPriority w:val="59"/>
    <w:rsid w:val="00F3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67F9"/>
    <w:rPr>
      <w:color w:val="800080" w:themeColor="followedHyperlink"/>
      <w:u w:val="single"/>
    </w:rPr>
  </w:style>
  <w:style w:type="paragraph" w:customStyle="1" w:styleId="Metadatabunntekst">
    <w:name w:val="Metadata bunntekst"/>
    <w:basedOn w:val="Normal"/>
    <w:link w:val="MetadatabunntekstTegn"/>
    <w:qFormat/>
    <w:rsid w:val="00501F0B"/>
    <w:rPr>
      <w:sz w:val="22"/>
    </w:rPr>
  </w:style>
  <w:style w:type="character" w:customStyle="1" w:styleId="MetadatabunntekstTegn">
    <w:name w:val="Metadata bunntekst Tegn"/>
    <w:basedOn w:val="DefaultParagraphFont"/>
    <w:link w:val="Metadatabunntekst"/>
    <w:rsid w:val="00501F0B"/>
    <w:rPr>
      <w:rFonts w:ascii="Arial" w:hAnsi="Arial"/>
      <w:noProof/>
      <w14:ligatures w14:val="standardContextual"/>
    </w:rPr>
  </w:style>
  <w:style w:type="character" w:customStyle="1" w:styleId="Overskrift2Teikn">
    <w:name w:val="Overskrift 2 Teikn"/>
    <w:basedOn w:val="DefaultParagraphFont"/>
    <w:link w:val="Heading2"/>
    <w:uiPriority w:val="9"/>
    <w:rsid w:val="00F02EB5"/>
    <w:rPr>
      <w:rFonts w:ascii="Calibri" w:hAnsi="Calibri" w:eastAsiaTheme="majorEastAsia" w:cstheme="majorBidi"/>
      <w:b/>
      <w:noProof/>
      <w:sz w:val="26"/>
      <w:szCs w:val="26"/>
      <w14:ligatures w14:val="standardContextual"/>
    </w:rPr>
  </w:style>
  <w:style w:type="character" w:styleId="UnresolvedMention">
    <w:name w:val="Unresolved Mention"/>
    <w:basedOn w:val="DefaultParagraphFont"/>
    <w:uiPriority w:val="99"/>
    <w:semiHidden/>
    <w:unhideWhenUsed/>
    <w:rsid w:val="004E2FA7"/>
    <w:rPr>
      <w:color w:val="605E5C"/>
      <w:shd w:val="clear" w:color="auto" w:fill="E1DFDD"/>
    </w:rPr>
  </w:style>
  <w:style w:type="paragraph" w:styleId="Title">
    <w:name w:val="Title"/>
    <w:basedOn w:val="Normal"/>
    <w:next w:val="Normal"/>
    <w:link w:val="TittelTeikn"/>
    <w:qFormat/>
    <w:rsid w:val="0010737D"/>
    <w:pPr>
      <w:contextualSpacing/>
    </w:pPr>
    <w:rPr>
      <w:rFonts w:asciiTheme="majorHAnsi" w:eastAsiaTheme="majorEastAsia" w:hAnsiTheme="majorHAnsi" w:cstheme="majorBidi"/>
      <w:spacing w:val="-10"/>
      <w:kern w:val="28"/>
      <w:sz w:val="56"/>
      <w:szCs w:val="56"/>
    </w:rPr>
  </w:style>
  <w:style w:type="character" w:customStyle="1" w:styleId="TittelTeikn">
    <w:name w:val="Tittel Teikn"/>
    <w:basedOn w:val="DefaultParagraphFont"/>
    <w:link w:val="Title"/>
    <w:rsid w:val="0010737D"/>
    <w:rPr>
      <w:rFonts w:asciiTheme="majorHAnsi" w:eastAsiaTheme="majorEastAsia" w:hAnsiTheme="majorHAnsi" w:cstheme="majorBidi"/>
      <w:noProof/>
      <w:spacing w:val="-10"/>
      <w:kern w:val="28"/>
      <w:sz w:val="56"/>
      <w:szCs w:val="56"/>
      <w14:ligatures w14:val="standardContextual"/>
    </w:rPr>
  </w:style>
  <w:style w:type="character" w:customStyle="1" w:styleId="Overskrift3Teikn">
    <w:name w:val="Overskrift 3 Teikn"/>
    <w:basedOn w:val="DefaultParagraphFont"/>
    <w:link w:val="Heading3"/>
    <w:uiPriority w:val="9"/>
    <w:semiHidden/>
    <w:rsid w:val="00DD1515"/>
    <w:rPr>
      <w:rFonts w:asciiTheme="majorHAnsi" w:eastAsiaTheme="majorEastAsia" w:hAnsiTheme="majorHAnsi" w:cstheme="majorBidi"/>
      <w:noProof/>
      <w:color w:val="243F60" w:themeColor="accent1" w:themeShade="7F"/>
      <w:sz w:val="24"/>
      <w:szCs w:val="24"/>
      <w14:ligatures w14:val="standardContextual"/>
    </w:rPr>
  </w:style>
  <w:style w:type="paragraph" w:customStyle="1" w:styleId="NormalElements">
    <w:name w:val="Normal Elements"/>
    <w:basedOn w:val="Normal"/>
    <w:link w:val="NormalElementsTegn"/>
    <w:autoRedefine/>
    <w:qFormat/>
    <w:rsid w:val="00450E51"/>
    <w:pPr>
      <w:ind w:right="4"/>
    </w:pPr>
    <w:rPr>
      <w:rFonts w:eastAsia="Times New Roman" w:asciiTheme="minorHAnsi" w:hAnsiTheme="minorHAnsi" w:cs="Times New Roman"/>
      <w:szCs w:val="24"/>
      <w:lang w:eastAsia="nb-NO"/>
      <w14:ligatures w14:val="none"/>
    </w:rPr>
  </w:style>
  <w:style w:type="character" w:customStyle="1" w:styleId="NormalElementsTegn">
    <w:name w:val="Normal Elements Tegn"/>
    <w:basedOn w:val="DefaultParagraphFont"/>
    <w:link w:val="NormalElements"/>
    <w:rsid w:val="00450E51"/>
    <w:rPr>
      <w:rFonts w:eastAsia="Times New Roman" w:cs="Times New Roman"/>
      <w:sz w:val="24"/>
      <w:szCs w:val="24"/>
      <w:lang w:eastAsia="nb-NO"/>
    </w:rPr>
  </w:style>
  <w:style w:type="paragraph" w:styleId="ListParagraph">
    <w:name w:val="List Paragraph"/>
    <w:basedOn w:val="Normal"/>
    <w:uiPriority w:val="34"/>
    <w:qFormat/>
    <w:rsid w:val="004D18C9"/>
    <w:pPr>
      <w:ind w:left="720"/>
      <w:contextualSpacing/>
    </w:pPr>
  </w:style>
  <w:style w:type="paragraph" w:customStyle="1" w:styleId="OverskriftElements">
    <w:name w:val="Overskrift Elements"/>
    <w:basedOn w:val="Heading2"/>
    <w:link w:val="OverskriftElementsTegn"/>
    <w:autoRedefine/>
    <w:qFormat/>
    <w:rsid w:val="002A6192"/>
    <w:pPr>
      <w:keepLines w:val="0"/>
      <w:spacing w:before="240" w:after="120"/>
    </w:pPr>
    <w:rPr>
      <w:rFonts w:eastAsia="Times New Roman" w:cs="Arial"/>
      <w:bCs/>
      <w:iCs/>
      <w:sz w:val="24"/>
      <w:szCs w:val="28"/>
      <w:lang w:eastAsia="nb-NO"/>
      <w14:ligatures w14:val="none"/>
    </w:rPr>
  </w:style>
  <w:style w:type="character" w:customStyle="1" w:styleId="OverskriftElementsTegn">
    <w:name w:val="Overskrift Elements Tegn"/>
    <w:basedOn w:val="Overskrift2Teikn"/>
    <w:link w:val="OverskriftElements"/>
    <w:rsid w:val="002A6192"/>
    <w:rPr>
      <w:rFonts w:eastAsia="Times New Roman" w:cs="Arial"/>
      <w:bCs/>
      <w:iCs/>
      <w:noProof w:val="0"/>
      <w:sz w:val="24"/>
      <w:szCs w:val="28"/>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in.rettsdata.no/"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AAB4-C734-40AA-B3B3-AED8BCF7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1706</Words>
  <Characters>9047</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ASPIT AS</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Kristin Aastad</dc:creator>
  <cp:lastModifiedBy>Jan Myrekrok</cp:lastModifiedBy>
  <cp:revision>42</cp:revision>
  <cp:lastPrinted>2021-12-09T17:49:00Z</cp:lastPrinted>
  <dcterms:created xsi:type="dcterms:W3CDTF">2025-01-14T11:46:00Z</dcterms:created>
  <dcterms:modified xsi:type="dcterms:W3CDTF">2026-03-06T09:58:00Z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7ded4a-67f5-4711-b597-253aeaf659b9_ActionId">
    <vt:lpwstr>3218c633-d4a8-45ad-aac3-59b5795e1db9</vt:lpwstr>
  </property>
  <property fmtid="{D5CDD505-2E9C-101B-9397-08002B2CF9AE}" pid="3" name="MSIP_Label_4c7ded4a-67f5-4711-b597-253aeaf659b9_ContentBits">
    <vt:lpwstr>0</vt:lpwstr>
  </property>
  <property fmtid="{D5CDD505-2E9C-101B-9397-08002B2CF9AE}" pid="4" name="MSIP_Label_4c7ded4a-67f5-4711-b597-253aeaf659b9_Enabled">
    <vt:lpwstr>true</vt:lpwstr>
  </property>
  <property fmtid="{D5CDD505-2E9C-101B-9397-08002B2CF9AE}" pid="5" name="MSIP_Label_4c7ded4a-67f5-4711-b597-253aeaf659b9_Method">
    <vt:lpwstr>Standard</vt:lpwstr>
  </property>
  <property fmtid="{D5CDD505-2E9C-101B-9397-08002B2CF9AE}" pid="6" name="MSIP_Label_4c7ded4a-67f5-4711-b597-253aeaf659b9_Name">
    <vt:lpwstr>Public</vt:lpwstr>
  </property>
  <property fmtid="{D5CDD505-2E9C-101B-9397-08002B2CF9AE}" pid="7" name="MSIP_Label_4c7ded4a-67f5-4711-b597-253aeaf659b9_SetDate">
    <vt:lpwstr>2023-10-01T17:28:11Z</vt:lpwstr>
  </property>
  <property fmtid="{D5CDD505-2E9C-101B-9397-08002B2CF9AE}" pid="8" name="MSIP_Label_4c7ded4a-67f5-4711-b597-253aeaf659b9_SiteId">
    <vt:lpwstr>b716bd50-85d2-417b-8540-2a4d8d97f738</vt:lpwstr>
  </property>
</Properties>
</file>