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D8CE" w14:textId="77777777" w:rsidR="00F035B5" w:rsidRPr="00F035B5" w:rsidRDefault="00F035B5" w:rsidP="00F035B5">
      <w:pPr>
        <w:rPr>
          <w:b/>
        </w:rPr>
      </w:pPr>
      <w:r w:rsidRPr="00F035B5">
        <w:rPr>
          <w:b/>
        </w:rPr>
        <w:t xml:space="preserve">Vedlegg – Lokal forskrift om utslepp av sanitært avlaupsvatn frå bustadhus, fritidshus og liknande i Vinje kommune. </w:t>
      </w:r>
    </w:p>
    <w:p w14:paraId="2AB1187A" w14:textId="77777777" w:rsidR="00F035B5" w:rsidRPr="00F035B5" w:rsidRDefault="00F035B5" w:rsidP="00F035B5">
      <w:pPr>
        <w:rPr>
          <w:b/>
        </w:rPr>
      </w:pPr>
    </w:p>
    <w:p w14:paraId="6704B84A" w14:textId="77777777" w:rsidR="00F035B5" w:rsidRPr="00F035B5" w:rsidRDefault="00F035B5" w:rsidP="00F035B5">
      <w:r w:rsidRPr="00F035B5">
        <w:t xml:space="preserve">Paragrafane nedanfor er eit utdrag frå den lokale forskrifta. Det er desse krava som er relevante for løyvet me har informert om i dette brevet. Heile forskrifta finn de på </w:t>
      </w:r>
      <w:hyperlink r:id="rId4" w:history="1">
        <w:r w:rsidRPr="00F035B5">
          <w:rPr>
            <w:rStyle w:val="Hyperkopling"/>
          </w:rPr>
          <w:t>Lovdata</w:t>
        </w:r>
      </w:hyperlink>
      <w:r w:rsidRPr="00F035B5">
        <w:t>.</w:t>
      </w:r>
    </w:p>
    <w:p w14:paraId="3B1EE306" w14:textId="77777777" w:rsidR="00F035B5" w:rsidRPr="00F035B5" w:rsidRDefault="00F035B5" w:rsidP="00F035B5">
      <w:pPr>
        <w:rPr>
          <w:bCs/>
        </w:rPr>
      </w:pPr>
    </w:p>
    <w:p w14:paraId="2AF8257D" w14:textId="77777777" w:rsidR="00F035B5" w:rsidRPr="00F035B5" w:rsidRDefault="00F035B5" w:rsidP="00F035B5">
      <w:r w:rsidRPr="00F035B5">
        <w:t>§ 9.</w:t>
      </w:r>
      <w:r w:rsidRPr="00F035B5">
        <w:rPr>
          <w:i/>
          <w:iCs/>
        </w:rPr>
        <w:t>Utsleppskrav</w:t>
      </w:r>
    </w:p>
    <w:p w14:paraId="0CC2EAC1" w14:textId="77777777" w:rsidR="00F035B5" w:rsidRPr="00F035B5" w:rsidRDefault="00F035B5" w:rsidP="00F035B5">
      <w:r w:rsidRPr="00F035B5">
        <w:t>Anlegg som slepper ut sanitært avløpsvatn skal oppfylle følgjande utsleppskonsentrasjonar: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87"/>
        <w:gridCol w:w="4236"/>
      </w:tblGrid>
      <w:tr w:rsidR="00F035B5" w:rsidRPr="00F035B5" w14:paraId="5F37606F" w14:textId="77777777" w:rsidTr="00F11D54">
        <w:trPr>
          <w:tblHeader/>
          <w:tblCellSpacing w:w="15" w:type="dxa"/>
        </w:trPr>
        <w:tc>
          <w:tcPr>
            <w:tcW w:w="0" w:type="auto"/>
            <w:vAlign w:val="center"/>
            <w:hideMark/>
          </w:tcPr>
          <w:p w14:paraId="2CB4A663" w14:textId="77777777" w:rsidR="00F035B5" w:rsidRPr="00F035B5" w:rsidRDefault="00F035B5" w:rsidP="00F035B5">
            <w:pPr>
              <w:rPr>
                <w:b/>
                <w:bCs/>
              </w:rPr>
            </w:pPr>
            <w:r w:rsidRPr="00F035B5">
              <w:rPr>
                <w:b/>
                <w:bCs/>
                <w:i/>
                <w:iCs/>
              </w:rPr>
              <w:t>Forureiningsparameter</w:t>
            </w:r>
          </w:p>
        </w:tc>
        <w:tc>
          <w:tcPr>
            <w:tcW w:w="0" w:type="auto"/>
            <w:vAlign w:val="center"/>
            <w:hideMark/>
          </w:tcPr>
          <w:p w14:paraId="295FE741" w14:textId="77777777" w:rsidR="00F035B5" w:rsidRPr="00F035B5" w:rsidRDefault="00F035B5" w:rsidP="00F035B5">
            <w:pPr>
              <w:rPr>
                <w:b/>
                <w:bCs/>
              </w:rPr>
            </w:pPr>
            <w:r w:rsidRPr="00F035B5">
              <w:rPr>
                <w:b/>
                <w:bCs/>
                <w:i/>
                <w:iCs/>
              </w:rPr>
              <w:t>Høgaste utløpskonsentrasjon</w:t>
            </w:r>
          </w:p>
        </w:tc>
      </w:tr>
      <w:tr w:rsidR="00F035B5" w:rsidRPr="00F035B5" w14:paraId="2C732BD0" w14:textId="77777777" w:rsidTr="00F11D54">
        <w:trPr>
          <w:tblCellSpacing w:w="15" w:type="dxa"/>
        </w:trPr>
        <w:tc>
          <w:tcPr>
            <w:tcW w:w="0" w:type="auto"/>
            <w:vAlign w:val="center"/>
            <w:hideMark/>
          </w:tcPr>
          <w:p w14:paraId="6A7B6886" w14:textId="77777777" w:rsidR="00F035B5" w:rsidRPr="00F035B5" w:rsidRDefault="00F035B5" w:rsidP="00F035B5">
            <w:r w:rsidRPr="00F035B5">
              <w:t>Tot-P</w:t>
            </w:r>
          </w:p>
        </w:tc>
        <w:tc>
          <w:tcPr>
            <w:tcW w:w="0" w:type="auto"/>
            <w:vAlign w:val="center"/>
            <w:hideMark/>
          </w:tcPr>
          <w:p w14:paraId="1B65D398" w14:textId="77777777" w:rsidR="00F035B5" w:rsidRPr="00F035B5" w:rsidRDefault="00F035B5" w:rsidP="00F035B5">
            <w:r w:rsidRPr="00F035B5">
              <w:t>&lt; 1,0 mg/l (</w:t>
            </w:r>
            <w:proofErr w:type="spellStart"/>
            <w:r w:rsidRPr="00F035B5">
              <w:t>tilsvarar</w:t>
            </w:r>
            <w:proofErr w:type="spellEnd"/>
            <w:r w:rsidRPr="00F035B5">
              <w:t xml:space="preserve"> ein reinseeffekt på &gt; 90 %)</w:t>
            </w:r>
          </w:p>
        </w:tc>
      </w:tr>
      <w:tr w:rsidR="00F035B5" w:rsidRPr="00F035B5" w14:paraId="01B43F74" w14:textId="77777777" w:rsidTr="00F11D54">
        <w:trPr>
          <w:tblCellSpacing w:w="15" w:type="dxa"/>
        </w:trPr>
        <w:tc>
          <w:tcPr>
            <w:tcW w:w="0" w:type="auto"/>
            <w:vAlign w:val="center"/>
            <w:hideMark/>
          </w:tcPr>
          <w:p w14:paraId="596489E0" w14:textId="77777777" w:rsidR="00F035B5" w:rsidRPr="00F035B5" w:rsidRDefault="00F035B5" w:rsidP="00F035B5">
            <w:r w:rsidRPr="00F035B5">
              <w:t>BOF</w:t>
            </w:r>
            <w:r w:rsidRPr="00F035B5">
              <w:rPr>
                <w:vertAlign w:val="subscript"/>
              </w:rPr>
              <w:t>5</w:t>
            </w:r>
          </w:p>
        </w:tc>
        <w:tc>
          <w:tcPr>
            <w:tcW w:w="0" w:type="auto"/>
            <w:vAlign w:val="center"/>
            <w:hideMark/>
          </w:tcPr>
          <w:p w14:paraId="010A42E0" w14:textId="77777777" w:rsidR="00F035B5" w:rsidRPr="00F035B5" w:rsidRDefault="00F035B5" w:rsidP="00F035B5">
            <w:r w:rsidRPr="00F035B5">
              <w:t>&lt; 25 mg/l (</w:t>
            </w:r>
            <w:proofErr w:type="spellStart"/>
            <w:r w:rsidRPr="00F035B5">
              <w:t>tilsvarar</w:t>
            </w:r>
            <w:proofErr w:type="spellEnd"/>
            <w:r w:rsidRPr="00F035B5">
              <w:t xml:space="preserve"> en reinseeffekt på &gt; 90 %)</w:t>
            </w:r>
          </w:p>
        </w:tc>
      </w:tr>
    </w:tbl>
    <w:p w14:paraId="7AF301D5" w14:textId="77777777" w:rsidR="00F035B5" w:rsidRPr="00F035B5" w:rsidRDefault="00F035B5" w:rsidP="00F035B5">
      <w:r w:rsidRPr="00F035B5">
        <w:t xml:space="preserve">Der særskilte brukarinteresser som til dømes fiske, bading og drikkevatn, kan bli </w:t>
      </w:r>
      <w:proofErr w:type="spellStart"/>
      <w:r w:rsidRPr="00F035B5">
        <w:t>berørt</w:t>
      </w:r>
      <w:proofErr w:type="spellEnd"/>
      <w:r w:rsidRPr="00F035B5">
        <w:t xml:space="preserve"> av tiltaket, kan kommunen stille krav til utslepp av bakteriar, </w:t>
      </w:r>
      <w:proofErr w:type="spellStart"/>
      <w:r w:rsidRPr="00F035B5">
        <w:t>TKB</w:t>
      </w:r>
      <w:proofErr w:type="spellEnd"/>
      <w:r w:rsidRPr="00F035B5">
        <w:t xml:space="preserve"> og/eller </w:t>
      </w:r>
      <w:proofErr w:type="spellStart"/>
      <w:r w:rsidRPr="00F035B5">
        <w:t>E.Coli</w:t>
      </w:r>
      <w:proofErr w:type="spellEnd"/>
      <w:r w:rsidRPr="00F035B5">
        <w:t>.</w:t>
      </w:r>
    </w:p>
    <w:p w14:paraId="579A32A9" w14:textId="77777777" w:rsidR="00F035B5" w:rsidRPr="00F035B5" w:rsidRDefault="00F035B5" w:rsidP="00F035B5">
      <w:r w:rsidRPr="00F035B5">
        <w:t>I særskilte høve kan kommunen stille skjerpande krav.</w:t>
      </w:r>
    </w:p>
    <w:p w14:paraId="51966CAA" w14:textId="77777777" w:rsidR="00F035B5" w:rsidRPr="00F035B5" w:rsidRDefault="00F035B5" w:rsidP="00F035B5">
      <w:r w:rsidRPr="00F035B5">
        <w:t>Dersom det berre vert sleppt ut gråvatn, skal gråvatnet minimum gjennomgå reinsing med godkjente reinseløysningar som beskrive i § 8.</w:t>
      </w:r>
    </w:p>
    <w:p w14:paraId="12D3857C" w14:textId="77777777" w:rsidR="00F035B5" w:rsidRPr="00F035B5" w:rsidRDefault="00F035B5" w:rsidP="00F035B5">
      <w:bookmarkStart w:id="0" w:name="§10"/>
      <w:bookmarkStart w:id="1" w:name="PARAGRAF_10"/>
      <w:bookmarkEnd w:id="0"/>
      <w:bookmarkEnd w:id="1"/>
    </w:p>
    <w:p w14:paraId="57B4A3B6" w14:textId="77777777" w:rsidR="00F035B5" w:rsidRPr="00F035B5" w:rsidRDefault="00F035B5" w:rsidP="00F035B5">
      <w:r w:rsidRPr="00F035B5">
        <w:t>§ 10.</w:t>
      </w:r>
      <w:r w:rsidRPr="00F035B5">
        <w:rPr>
          <w:i/>
          <w:iCs/>
        </w:rPr>
        <w:t>Utsleppsstad</w:t>
      </w:r>
    </w:p>
    <w:p w14:paraId="47F969C3" w14:textId="77777777" w:rsidR="00F035B5" w:rsidRPr="00F035B5" w:rsidRDefault="00F035B5" w:rsidP="00F035B5">
      <w:r w:rsidRPr="00F035B5">
        <w:t>Utsleppsstad må leggast slik at det ikkje kjem i konflikt med andre brukarinteresser, slik som uttak for drikkevatn eller rekreasjon.</w:t>
      </w:r>
    </w:p>
    <w:p w14:paraId="465B4637" w14:textId="77777777" w:rsidR="00F035B5" w:rsidRPr="00F035B5" w:rsidRDefault="00F035B5" w:rsidP="00F035B5">
      <w:r w:rsidRPr="00F035B5">
        <w:t>Utsleppet bør, der det er mogleg, gå til naturleg infiltrasjon.</w:t>
      </w:r>
    </w:p>
    <w:p w14:paraId="36A186CB" w14:textId="77777777" w:rsidR="00F035B5" w:rsidRPr="00F035B5" w:rsidRDefault="00F035B5" w:rsidP="00F035B5">
      <w:r w:rsidRPr="00F035B5">
        <w:t>Alle overflateresipientar som mottek reinsa avløpsvatn skal ha sikker årsvassføring. Dette inneber vassføring som ved middeltemperatur over frysepunktet ikkje tørkar ut av naturlege årsaker oftare enn kvart tiande år i gjennomsnitt.</w:t>
      </w:r>
    </w:p>
    <w:p w14:paraId="6DBCF947" w14:textId="77777777" w:rsidR="00F035B5" w:rsidRPr="00F035B5" w:rsidRDefault="00F035B5" w:rsidP="00F035B5">
      <w:r w:rsidRPr="00F035B5">
        <w:t xml:space="preserve">Utslepp til ferskvatn skal lokaliserast minst 2 meter under lågaste vasstand. Kommunen kan ved brukarinteresser sette strengare krav til lengde og </w:t>
      </w:r>
      <w:proofErr w:type="spellStart"/>
      <w:r w:rsidRPr="00F035B5">
        <w:t>djubde</w:t>
      </w:r>
      <w:proofErr w:type="spellEnd"/>
      <w:r w:rsidRPr="00F035B5">
        <w:t xml:space="preserve"> på utsleppsleidning.</w:t>
      </w:r>
    </w:p>
    <w:p w14:paraId="05B40957" w14:textId="77777777" w:rsidR="00F035B5" w:rsidRPr="00F035B5" w:rsidRDefault="00F035B5" w:rsidP="00F035B5"/>
    <w:p w14:paraId="66D6FB7C" w14:textId="77777777" w:rsidR="00F035B5" w:rsidRPr="00F035B5" w:rsidRDefault="00F035B5" w:rsidP="00F035B5">
      <w:bookmarkStart w:id="2" w:name="§11"/>
      <w:bookmarkStart w:id="3" w:name="PARAGRAF_11"/>
      <w:bookmarkEnd w:id="2"/>
      <w:bookmarkEnd w:id="3"/>
      <w:r w:rsidRPr="00F035B5">
        <w:t>§ 11.</w:t>
      </w:r>
      <w:r w:rsidRPr="00F035B5">
        <w:rPr>
          <w:i/>
          <w:iCs/>
        </w:rPr>
        <w:t>Godkjente reinseløysingar</w:t>
      </w:r>
    </w:p>
    <w:p w14:paraId="607ABCAE" w14:textId="77777777" w:rsidR="00F035B5" w:rsidRPr="00F035B5" w:rsidRDefault="00F035B5" w:rsidP="00F035B5">
      <w:r w:rsidRPr="00F035B5">
        <w:t>Avhengig av stadlege forhold og anleggets føremål vil følgjande reinseløysningar kunne bli godkjent:</w:t>
      </w:r>
    </w:p>
    <w:tbl>
      <w:tblPr>
        <w:tblW w:w="5000" w:type="pct"/>
        <w:tblCellMar>
          <w:top w:w="15" w:type="dxa"/>
          <w:left w:w="15" w:type="dxa"/>
          <w:bottom w:w="15" w:type="dxa"/>
          <w:right w:w="15" w:type="dxa"/>
        </w:tblCellMar>
        <w:tblLook w:val="04A0" w:firstRow="1" w:lastRow="0" w:firstColumn="1" w:lastColumn="0" w:noHBand="0" w:noVBand="1"/>
      </w:tblPr>
      <w:tblGrid>
        <w:gridCol w:w="621"/>
        <w:gridCol w:w="8451"/>
      </w:tblGrid>
      <w:tr w:rsidR="00F035B5" w:rsidRPr="00F035B5" w14:paraId="15896C60" w14:textId="77777777" w:rsidTr="00F11D54">
        <w:tc>
          <w:tcPr>
            <w:tcW w:w="0" w:type="auto"/>
            <w:vAlign w:val="center"/>
            <w:hideMark/>
          </w:tcPr>
          <w:p w14:paraId="5FA549FB" w14:textId="77777777" w:rsidR="00F035B5" w:rsidRPr="00F035B5" w:rsidRDefault="00F035B5" w:rsidP="00F035B5">
            <w:r w:rsidRPr="00F035B5">
              <w:t>a)</w:t>
            </w:r>
          </w:p>
        </w:tc>
        <w:tc>
          <w:tcPr>
            <w:tcW w:w="0" w:type="auto"/>
            <w:vAlign w:val="center"/>
            <w:hideMark/>
          </w:tcPr>
          <w:p w14:paraId="63141C2A" w14:textId="77777777" w:rsidR="00F035B5" w:rsidRPr="00F035B5" w:rsidRDefault="00F035B5" w:rsidP="00F035B5">
            <w:r w:rsidRPr="00F035B5">
              <w:t>Med klosett tilknytt (spillvatn):</w:t>
            </w:r>
          </w:p>
        </w:tc>
      </w:tr>
    </w:tbl>
    <w:p w14:paraId="540F4EAE"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374"/>
        <w:gridCol w:w="8698"/>
      </w:tblGrid>
      <w:tr w:rsidR="00F035B5" w:rsidRPr="00F035B5" w14:paraId="6962CD6C" w14:textId="77777777" w:rsidTr="00F11D54">
        <w:tc>
          <w:tcPr>
            <w:tcW w:w="0" w:type="auto"/>
            <w:vAlign w:val="center"/>
            <w:hideMark/>
          </w:tcPr>
          <w:p w14:paraId="6A4A3EB4" w14:textId="77777777" w:rsidR="00F035B5" w:rsidRPr="00F035B5" w:rsidRDefault="00F035B5" w:rsidP="00F035B5">
            <w:r w:rsidRPr="00F035B5">
              <w:t>-</w:t>
            </w:r>
          </w:p>
        </w:tc>
        <w:tc>
          <w:tcPr>
            <w:tcW w:w="0" w:type="auto"/>
            <w:vAlign w:val="center"/>
            <w:hideMark/>
          </w:tcPr>
          <w:p w14:paraId="3D5462E5" w14:textId="77777777" w:rsidR="00F035B5" w:rsidRPr="00F035B5" w:rsidRDefault="00F035B5" w:rsidP="00F035B5">
            <w:r w:rsidRPr="00F035B5">
              <w:t>Lukka infiltrasjonsanlegg.</w:t>
            </w:r>
          </w:p>
        </w:tc>
      </w:tr>
    </w:tbl>
    <w:p w14:paraId="0E6F8719"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337"/>
        <w:gridCol w:w="8735"/>
      </w:tblGrid>
      <w:tr w:rsidR="00F035B5" w:rsidRPr="00F035B5" w14:paraId="329B9B8F" w14:textId="77777777" w:rsidTr="00F11D54">
        <w:tc>
          <w:tcPr>
            <w:tcW w:w="0" w:type="auto"/>
            <w:vAlign w:val="center"/>
            <w:hideMark/>
          </w:tcPr>
          <w:p w14:paraId="679E7BE8" w14:textId="77777777" w:rsidR="00F035B5" w:rsidRPr="00F035B5" w:rsidRDefault="00F035B5" w:rsidP="00F035B5">
            <w:r w:rsidRPr="00F035B5">
              <w:lastRenderedPageBreak/>
              <w:t>-</w:t>
            </w:r>
          </w:p>
        </w:tc>
        <w:tc>
          <w:tcPr>
            <w:tcW w:w="0" w:type="auto"/>
            <w:vAlign w:val="center"/>
            <w:hideMark/>
          </w:tcPr>
          <w:p w14:paraId="46046B77" w14:textId="77777777" w:rsidR="00F035B5" w:rsidRPr="00F035B5" w:rsidRDefault="00F035B5" w:rsidP="00F035B5">
            <w:r w:rsidRPr="00F035B5">
              <w:t>Jordhauginfiltrasjonsanlegg.</w:t>
            </w:r>
          </w:p>
        </w:tc>
      </w:tr>
    </w:tbl>
    <w:p w14:paraId="16AB82EF"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255"/>
        <w:gridCol w:w="8817"/>
      </w:tblGrid>
      <w:tr w:rsidR="00F035B5" w:rsidRPr="00F035B5" w14:paraId="2BD3F7D0" w14:textId="77777777" w:rsidTr="00F11D54">
        <w:tc>
          <w:tcPr>
            <w:tcW w:w="0" w:type="auto"/>
            <w:vAlign w:val="center"/>
            <w:hideMark/>
          </w:tcPr>
          <w:p w14:paraId="4CCAD753" w14:textId="77777777" w:rsidR="00F035B5" w:rsidRPr="00F035B5" w:rsidRDefault="00F035B5" w:rsidP="00F035B5">
            <w:r w:rsidRPr="00F035B5">
              <w:t>-</w:t>
            </w:r>
          </w:p>
        </w:tc>
        <w:tc>
          <w:tcPr>
            <w:tcW w:w="0" w:type="auto"/>
            <w:vAlign w:val="center"/>
            <w:hideMark/>
          </w:tcPr>
          <w:p w14:paraId="1CB37674" w14:textId="77777777" w:rsidR="00F035B5" w:rsidRPr="00F035B5" w:rsidRDefault="00F035B5" w:rsidP="00F035B5">
            <w:proofErr w:type="spellStart"/>
            <w:r w:rsidRPr="00F035B5">
              <w:t>Filterbedanlegg</w:t>
            </w:r>
            <w:proofErr w:type="spellEnd"/>
            <w:r w:rsidRPr="00F035B5">
              <w:t xml:space="preserve"> (konstruert våtmark).</w:t>
            </w:r>
          </w:p>
        </w:tc>
      </w:tr>
    </w:tbl>
    <w:p w14:paraId="7DD6BED3"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114"/>
        <w:gridCol w:w="8958"/>
      </w:tblGrid>
      <w:tr w:rsidR="00F035B5" w:rsidRPr="00F035B5" w14:paraId="3554C13A" w14:textId="77777777" w:rsidTr="00F11D54">
        <w:tc>
          <w:tcPr>
            <w:tcW w:w="0" w:type="auto"/>
            <w:vAlign w:val="center"/>
            <w:hideMark/>
          </w:tcPr>
          <w:p w14:paraId="3263A3CF" w14:textId="77777777" w:rsidR="00F035B5" w:rsidRPr="00F035B5" w:rsidRDefault="00F035B5" w:rsidP="00F035B5">
            <w:r w:rsidRPr="00F035B5">
              <w:t>-</w:t>
            </w:r>
          </w:p>
        </w:tc>
        <w:tc>
          <w:tcPr>
            <w:tcW w:w="0" w:type="auto"/>
            <w:vAlign w:val="center"/>
            <w:hideMark/>
          </w:tcPr>
          <w:p w14:paraId="338FF91E" w14:textId="77777777" w:rsidR="00F035B5" w:rsidRPr="00F035B5" w:rsidRDefault="00F035B5" w:rsidP="00F035B5">
            <w:r w:rsidRPr="00F035B5">
              <w:t>Minireinseanlegg kl. I (kjemisk og biologisk reinsing) eller kl. III (</w:t>
            </w:r>
            <w:proofErr w:type="spellStart"/>
            <w:r w:rsidRPr="00F035B5">
              <w:t>bare</w:t>
            </w:r>
            <w:proofErr w:type="spellEnd"/>
            <w:r w:rsidRPr="00F035B5">
              <w:t xml:space="preserve"> kjemisk reinsing).</w:t>
            </w:r>
          </w:p>
        </w:tc>
      </w:tr>
    </w:tbl>
    <w:p w14:paraId="0F8592EF"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155"/>
        <w:gridCol w:w="8917"/>
      </w:tblGrid>
      <w:tr w:rsidR="00F035B5" w:rsidRPr="00F035B5" w14:paraId="448AD260" w14:textId="77777777" w:rsidTr="00F11D54">
        <w:tc>
          <w:tcPr>
            <w:tcW w:w="0" w:type="auto"/>
            <w:vAlign w:val="center"/>
            <w:hideMark/>
          </w:tcPr>
          <w:p w14:paraId="12628B88" w14:textId="77777777" w:rsidR="00F035B5" w:rsidRPr="00F035B5" w:rsidRDefault="00F035B5" w:rsidP="00F035B5">
            <w:r w:rsidRPr="00F035B5">
              <w:t>-</w:t>
            </w:r>
          </w:p>
        </w:tc>
        <w:tc>
          <w:tcPr>
            <w:tcW w:w="0" w:type="auto"/>
            <w:vAlign w:val="center"/>
            <w:hideMark/>
          </w:tcPr>
          <w:p w14:paraId="698F966D" w14:textId="77777777" w:rsidR="00F035B5" w:rsidRPr="00F035B5" w:rsidRDefault="00F035B5" w:rsidP="00F035B5">
            <w:r w:rsidRPr="00F035B5">
              <w:t>Tett tank er ikkje godkjent som reinseløysing i Vinje kommune.</w:t>
            </w:r>
          </w:p>
        </w:tc>
      </w:tr>
    </w:tbl>
    <w:p w14:paraId="1CB5939B"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660"/>
        <w:gridCol w:w="8412"/>
      </w:tblGrid>
      <w:tr w:rsidR="00F035B5" w:rsidRPr="00F035B5" w14:paraId="0B12B821" w14:textId="77777777" w:rsidTr="00F11D54">
        <w:tc>
          <w:tcPr>
            <w:tcW w:w="0" w:type="auto"/>
            <w:vAlign w:val="center"/>
            <w:hideMark/>
          </w:tcPr>
          <w:p w14:paraId="7CEC55E8" w14:textId="77777777" w:rsidR="00F035B5" w:rsidRPr="00F035B5" w:rsidRDefault="00F035B5" w:rsidP="00F035B5">
            <w:r w:rsidRPr="00F035B5">
              <w:t>b)</w:t>
            </w:r>
          </w:p>
        </w:tc>
        <w:tc>
          <w:tcPr>
            <w:tcW w:w="0" w:type="auto"/>
            <w:vAlign w:val="center"/>
            <w:hideMark/>
          </w:tcPr>
          <w:p w14:paraId="11A892C1" w14:textId="77777777" w:rsidR="00F035B5" w:rsidRPr="00F035B5" w:rsidRDefault="00F035B5" w:rsidP="00F035B5">
            <w:r w:rsidRPr="00F035B5">
              <w:t>Utan klosett tilknytt (gråvatn):</w:t>
            </w:r>
          </w:p>
        </w:tc>
      </w:tr>
    </w:tbl>
    <w:p w14:paraId="682E7E70"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374"/>
        <w:gridCol w:w="8698"/>
      </w:tblGrid>
      <w:tr w:rsidR="00F035B5" w:rsidRPr="00F035B5" w14:paraId="590FB98F" w14:textId="77777777" w:rsidTr="00F11D54">
        <w:tc>
          <w:tcPr>
            <w:tcW w:w="0" w:type="auto"/>
            <w:vAlign w:val="center"/>
            <w:hideMark/>
          </w:tcPr>
          <w:p w14:paraId="5AB56E38" w14:textId="77777777" w:rsidR="00F035B5" w:rsidRPr="00F035B5" w:rsidRDefault="00F035B5" w:rsidP="00F035B5">
            <w:r w:rsidRPr="00F035B5">
              <w:t>-</w:t>
            </w:r>
          </w:p>
        </w:tc>
        <w:tc>
          <w:tcPr>
            <w:tcW w:w="0" w:type="auto"/>
            <w:vAlign w:val="center"/>
            <w:hideMark/>
          </w:tcPr>
          <w:p w14:paraId="7D524AE2" w14:textId="77777777" w:rsidR="00F035B5" w:rsidRPr="00F035B5" w:rsidRDefault="00F035B5" w:rsidP="00F035B5">
            <w:r w:rsidRPr="00F035B5">
              <w:t>Lukka infiltrasjonsanlegg.</w:t>
            </w:r>
          </w:p>
        </w:tc>
      </w:tr>
    </w:tbl>
    <w:p w14:paraId="4B4E8DB9"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337"/>
        <w:gridCol w:w="8735"/>
      </w:tblGrid>
      <w:tr w:rsidR="00F035B5" w:rsidRPr="00F035B5" w14:paraId="5C10495F" w14:textId="77777777" w:rsidTr="00F11D54">
        <w:tc>
          <w:tcPr>
            <w:tcW w:w="0" w:type="auto"/>
            <w:vAlign w:val="center"/>
            <w:hideMark/>
          </w:tcPr>
          <w:p w14:paraId="1F9FC5D4" w14:textId="77777777" w:rsidR="00F035B5" w:rsidRPr="00F035B5" w:rsidRDefault="00F035B5" w:rsidP="00F035B5">
            <w:r w:rsidRPr="00F035B5">
              <w:t>-</w:t>
            </w:r>
          </w:p>
        </w:tc>
        <w:tc>
          <w:tcPr>
            <w:tcW w:w="0" w:type="auto"/>
            <w:vAlign w:val="center"/>
            <w:hideMark/>
          </w:tcPr>
          <w:p w14:paraId="4F7524C4" w14:textId="77777777" w:rsidR="00F035B5" w:rsidRPr="00F035B5" w:rsidRDefault="00F035B5" w:rsidP="00F035B5">
            <w:r w:rsidRPr="00F035B5">
              <w:t>Jordhauginfiltrasjonsanlegg.</w:t>
            </w:r>
          </w:p>
        </w:tc>
      </w:tr>
    </w:tbl>
    <w:p w14:paraId="77DB9700"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261"/>
        <w:gridCol w:w="8811"/>
      </w:tblGrid>
      <w:tr w:rsidR="00F035B5" w:rsidRPr="00F035B5" w14:paraId="42B96899" w14:textId="77777777" w:rsidTr="00F11D54">
        <w:tc>
          <w:tcPr>
            <w:tcW w:w="0" w:type="auto"/>
            <w:vAlign w:val="center"/>
            <w:hideMark/>
          </w:tcPr>
          <w:p w14:paraId="3E3CE4DE" w14:textId="77777777" w:rsidR="00F035B5" w:rsidRPr="00F035B5" w:rsidRDefault="00F035B5" w:rsidP="00F035B5">
            <w:r w:rsidRPr="00F035B5">
              <w:t>-</w:t>
            </w:r>
          </w:p>
        </w:tc>
        <w:tc>
          <w:tcPr>
            <w:tcW w:w="0" w:type="auto"/>
            <w:vAlign w:val="center"/>
            <w:hideMark/>
          </w:tcPr>
          <w:p w14:paraId="4124FAE1" w14:textId="77777777" w:rsidR="00F035B5" w:rsidRPr="00F035B5" w:rsidRDefault="00F035B5" w:rsidP="00F035B5">
            <w:proofErr w:type="spellStart"/>
            <w:r w:rsidRPr="00F035B5">
              <w:t>Filterbedanlegg</w:t>
            </w:r>
            <w:proofErr w:type="spellEnd"/>
            <w:r w:rsidRPr="00F035B5">
              <w:t>, konstruert våtmark.</w:t>
            </w:r>
          </w:p>
        </w:tc>
      </w:tr>
    </w:tbl>
    <w:p w14:paraId="5DEE8DC5"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321"/>
        <w:gridCol w:w="8751"/>
      </w:tblGrid>
      <w:tr w:rsidR="00F035B5" w:rsidRPr="00F035B5" w14:paraId="09578441" w14:textId="77777777" w:rsidTr="00F11D54">
        <w:tc>
          <w:tcPr>
            <w:tcW w:w="0" w:type="auto"/>
            <w:vAlign w:val="center"/>
            <w:hideMark/>
          </w:tcPr>
          <w:p w14:paraId="23C1B6C1" w14:textId="77777777" w:rsidR="00F035B5" w:rsidRPr="00F035B5" w:rsidRDefault="00F035B5" w:rsidP="00F035B5">
            <w:r w:rsidRPr="00F035B5">
              <w:t>-</w:t>
            </w:r>
          </w:p>
        </w:tc>
        <w:tc>
          <w:tcPr>
            <w:tcW w:w="0" w:type="auto"/>
            <w:vAlign w:val="center"/>
            <w:hideMark/>
          </w:tcPr>
          <w:p w14:paraId="598CCB13" w14:textId="77777777" w:rsidR="00F035B5" w:rsidRPr="00F035B5" w:rsidRDefault="00F035B5" w:rsidP="00F035B5">
            <w:r w:rsidRPr="00F035B5">
              <w:t>Prefabrikkerte gråvassanlegg.</w:t>
            </w:r>
          </w:p>
        </w:tc>
      </w:tr>
    </w:tbl>
    <w:p w14:paraId="7D7957C0"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543"/>
        <w:gridCol w:w="8529"/>
      </w:tblGrid>
      <w:tr w:rsidR="00F035B5" w:rsidRPr="00F035B5" w14:paraId="3B6B68F5" w14:textId="77777777" w:rsidTr="00F11D54">
        <w:tc>
          <w:tcPr>
            <w:tcW w:w="0" w:type="auto"/>
            <w:vAlign w:val="center"/>
            <w:hideMark/>
          </w:tcPr>
          <w:p w14:paraId="33284C0C" w14:textId="77777777" w:rsidR="00F035B5" w:rsidRPr="00F035B5" w:rsidRDefault="00F035B5" w:rsidP="00F035B5">
            <w:r w:rsidRPr="00F035B5">
              <w:t>-</w:t>
            </w:r>
          </w:p>
        </w:tc>
        <w:tc>
          <w:tcPr>
            <w:tcW w:w="0" w:type="auto"/>
            <w:vAlign w:val="center"/>
            <w:hideMark/>
          </w:tcPr>
          <w:p w14:paraId="2BFA4665" w14:textId="77777777" w:rsidR="00F035B5" w:rsidRPr="00F035B5" w:rsidRDefault="00F035B5" w:rsidP="00F035B5">
            <w:r w:rsidRPr="00F035B5">
              <w:t>Sandfilteranlegg.</w:t>
            </w:r>
          </w:p>
        </w:tc>
      </w:tr>
    </w:tbl>
    <w:p w14:paraId="22A657CC" w14:textId="77777777" w:rsidR="00F035B5" w:rsidRPr="00F035B5" w:rsidRDefault="00F035B5" w:rsidP="00F035B5">
      <w:r w:rsidRPr="00F035B5">
        <w:t xml:space="preserve">For minireinseanlegg kan kommunen eventuelt </w:t>
      </w:r>
      <w:proofErr w:type="spellStart"/>
      <w:r w:rsidRPr="00F035B5">
        <w:t>kreve</w:t>
      </w:r>
      <w:proofErr w:type="spellEnd"/>
      <w:r w:rsidRPr="00F035B5">
        <w:t xml:space="preserve"> etterpoleringstrinn.</w:t>
      </w:r>
    </w:p>
    <w:p w14:paraId="6282E9F3" w14:textId="77777777" w:rsidR="00F035B5" w:rsidRPr="00F035B5" w:rsidRDefault="00F035B5" w:rsidP="00F035B5">
      <w:bookmarkStart w:id="4" w:name="§12"/>
      <w:bookmarkStart w:id="5" w:name="PARAGRAF_12"/>
      <w:bookmarkEnd w:id="4"/>
      <w:bookmarkEnd w:id="5"/>
    </w:p>
    <w:p w14:paraId="5355FBFF" w14:textId="77777777" w:rsidR="00F035B5" w:rsidRPr="00F035B5" w:rsidRDefault="00F035B5" w:rsidP="00F035B5">
      <w:r w:rsidRPr="00F035B5">
        <w:t>§ 12.</w:t>
      </w:r>
      <w:r w:rsidRPr="00F035B5">
        <w:rPr>
          <w:i/>
          <w:iCs/>
        </w:rPr>
        <w:t>Krav til drift og vedlikehald</w:t>
      </w:r>
    </w:p>
    <w:p w14:paraId="24B154FB" w14:textId="77777777" w:rsidR="00F035B5" w:rsidRPr="00F035B5" w:rsidRDefault="00F035B5" w:rsidP="00F035B5">
      <w:r w:rsidRPr="00F035B5">
        <w:t xml:space="preserve">Slamavskiljarar skal </w:t>
      </w:r>
      <w:proofErr w:type="spellStart"/>
      <w:r w:rsidRPr="00F035B5">
        <w:t>tømast</w:t>
      </w:r>
      <w:proofErr w:type="spellEnd"/>
      <w:r w:rsidRPr="00F035B5">
        <w:t xml:space="preserve"> regelmessig i kommunal regi, jf. kommunens føresegn om renovasjon og slam. Minireinseanlegg skal </w:t>
      </w:r>
      <w:proofErr w:type="spellStart"/>
      <w:r w:rsidRPr="00F035B5">
        <w:t>tømast</w:t>
      </w:r>
      <w:proofErr w:type="spellEnd"/>
      <w:r w:rsidRPr="00F035B5">
        <w:t xml:space="preserve"> ein gong per år. Hyppigare tømming skal utførast av kommunal/godkjent renovatør og må kostast av anleggseigar. Ettersyn utførast i samband med vanleg årleg </w:t>
      </w:r>
      <w:proofErr w:type="spellStart"/>
      <w:r w:rsidRPr="00F035B5">
        <w:t>tøming</w:t>
      </w:r>
      <w:proofErr w:type="spellEnd"/>
      <w:r w:rsidRPr="00F035B5">
        <w:t>. Avvik skal rapporterast til kommunen.</w:t>
      </w:r>
    </w:p>
    <w:p w14:paraId="4215F7E0" w14:textId="77777777" w:rsidR="00F035B5" w:rsidRPr="00F035B5" w:rsidRDefault="00F035B5" w:rsidP="00F035B5">
      <w:r w:rsidRPr="00F035B5">
        <w:t xml:space="preserve">For alle andre avløpsanlegg enn slamavskiljarar/infiltrasjonsanlegg, krev kommunen skriftleg drifts- og vedlikehaldsavtale mellom anleggseier og firma med naudsynt kompetanse. Signert avtale skal sendast kommunen seinast saman med første årsrapport etter oppstart eller overtaking av anlegg. Dersom eit godkjent firma er konkurs, eller </w:t>
      </w:r>
      <w:proofErr w:type="spellStart"/>
      <w:r w:rsidRPr="00F035B5">
        <w:t>opphøyrer</w:t>
      </w:r>
      <w:proofErr w:type="spellEnd"/>
      <w:r w:rsidRPr="00F035B5">
        <w:t xml:space="preserve"> av annan årsak, pliktar anleggseigarar å inngå avtaler med anna godkjent firma.</w:t>
      </w:r>
    </w:p>
    <w:p w14:paraId="5FD32C48" w14:textId="77777777" w:rsidR="00F035B5" w:rsidRPr="00F035B5" w:rsidRDefault="00F035B5" w:rsidP="00F035B5">
      <w:r w:rsidRPr="00F035B5">
        <w:t>Service og vedlikehald skal som eit minimum utførast med følgjande tidsintervall:</w:t>
      </w:r>
    </w:p>
    <w:tbl>
      <w:tblPr>
        <w:tblW w:w="5000" w:type="pct"/>
        <w:tblCellMar>
          <w:top w:w="15" w:type="dxa"/>
          <w:left w:w="15" w:type="dxa"/>
          <w:bottom w:w="15" w:type="dxa"/>
          <w:right w:w="15" w:type="dxa"/>
        </w:tblCellMar>
        <w:tblLook w:val="04A0" w:firstRow="1" w:lastRow="0" w:firstColumn="1" w:lastColumn="0" w:noHBand="0" w:noVBand="1"/>
      </w:tblPr>
      <w:tblGrid>
        <w:gridCol w:w="273"/>
        <w:gridCol w:w="8799"/>
      </w:tblGrid>
      <w:tr w:rsidR="00F035B5" w:rsidRPr="00F035B5" w14:paraId="49A25319" w14:textId="77777777" w:rsidTr="00F11D54">
        <w:tc>
          <w:tcPr>
            <w:tcW w:w="0" w:type="auto"/>
            <w:vAlign w:val="center"/>
            <w:hideMark/>
          </w:tcPr>
          <w:p w14:paraId="4356B32D" w14:textId="77777777" w:rsidR="00F035B5" w:rsidRPr="00F035B5" w:rsidRDefault="00F035B5" w:rsidP="00F035B5">
            <w:r w:rsidRPr="00F035B5">
              <w:lastRenderedPageBreak/>
              <w:t>a)</w:t>
            </w:r>
          </w:p>
        </w:tc>
        <w:tc>
          <w:tcPr>
            <w:tcW w:w="0" w:type="auto"/>
            <w:vAlign w:val="center"/>
            <w:hideMark/>
          </w:tcPr>
          <w:p w14:paraId="7024AA33" w14:textId="77777777" w:rsidR="00F035B5" w:rsidRPr="00F035B5" w:rsidRDefault="00F035B5" w:rsidP="00F035B5">
            <w:r w:rsidRPr="00F035B5">
              <w:t>Minireinseanlegg: I samsvar til krav fastsett av leverandør i serviceavtale.</w:t>
            </w:r>
          </w:p>
        </w:tc>
      </w:tr>
    </w:tbl>
    <w:p w14:paraId="735AC790"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265"/>
        <w:gridCol w:w="8807"/>
      </w:tblGrid>
      <w:tr w:rsidR="00F035B5" w:rsidRPr="00F035B5" w14:paraId="0CCF4FF8" w14:textId="77777777" w:rsidTr="00F11D54">
        <w:tc>
          <w:tcPr>
            <w:tcW w:w="0" w:type="auto"/>
            <w:vAlign w:val="center"/>
            <w:hideMark/>
          </w:tcPr>
          <w:p w14:paraId="7CA6C536" w14:textId="77777777" w:rsidR="00F035B5" w:rsidRPr="00F035B5" w:rsidRDefault="00F035B5" w:rsidP="00F035B5">
            <w:r w:rsidRPr="00F035B5">
              <w:t>b)</w:t>
            </w:r>
          </w:p>
        </w:tc>
        <w:tc>
          <w:tcPr>
            <w:tcW w:w="0" w:type="auto"/>
            <w:vAlign w:val="center"/>
            <w:hideMark/>
          </w:tcPr>
          <w:p w14:paraId="24E8AA05" w14:textId="77777777" w:rsidR="00F035B5" w:rsidRPr="00F035B5" w:rsidRDefault="00F035B5" w:rsidP="00F035B5">
            <w:proofErr w:type="spellStart"/>
            <w:r w:rsidRPr="00F035B5">
              <w:t>Filterbedanlegg</w:t>
            </w:r>
            <w:proofErr w:type="spellEnd"/>
            <w:r w:rsidRPr="00F035B5">
              <w:t>: 1 gong per år for fritidsbustader, 2 gonger per år for bustader.</w:t>
            </w:r>
          </w:p>
        </w:tc>
      </w:tr>
    </w:tbl>
    <w:p w14:paraId="083BA1E2"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203"/>
        <w:gridCol w:w="8869"/>
      </w:tblGrid>
      <w:tr w:rsidR="00F035B5" w:rsidRPr="00F035B5" w14:paraId="027B7D4B" w14:textId="77777777" w:rsidTr="00F11D54">
        <w:tc>
          <w:tcPr>
            <w:tcW w:w="0" w:type="auto"/>
            <w:vAlign w:val="center"/>
            <w:hideMark/>
          </w:tcPr>
          <w:p w14:paraId="72BE04D5" w14:textId="77777777" w:rsidR="00F035B5" w:rsidRPr="00F035B5" w:rsidRDefault="00F035B5" w:rsidP="00F035B5">
            <w:r w:rsidRPr="00F035B5">
              <w:t>c)</w:t>
            </w:r>
          </w:p>
        </w:tc>
        <w:tc>
          <w:tcPr>
            <w:tcW w:w="0" w:type="auto"/>
            <w:vAlign w:val="center"/>
            <w:hideMark/>
          </w:tcPr>
          <w:p w14:paraId="7ECC663F" w14:textId="77777777" w:rsidR="00F035B5" w:rsidRPr="00F035B5" w:rsidRDefault="00F035B5" w:rsidP="00F035B5">
            <w:r w:rsidRPr="00F035B5">
              <w:t xml:space="preserve">Infiltrasjonsanlegg: I tilknyting til </w:t>
            </w:r>
            <w:proofErr w:type="spellStart"/>
            <w:r w:rsidRPr="00F035B5">
              <w:t>tøming</w:t>
            </w:r>
            <w:proofErr w:type="spellEnd"/>
            <w:r w:rsidRPr="00F035B5">
              <w:t xml:space="preserve">: i samsvar med føresegn for avfall mv, Renovest </w:t>
            </w:r>
            <w:proofErr w:type="spellStart"/>
            <w:r w:rsidRPr="00F035B5">
              <w:t>IKS</w:t>
            </w:r>
            <w:proofErr w:type="spellEnd"/>
            <w:r w:rsidRPr="00F035B5">
              <w:t>.</w:t>
            </w:r>
          </w:p>
        </w:tc>
      </w:tr>
    </w:tbl>
    <w:p w14:paraId="56826A34"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231"/>
        <w:gridCol w:w="8841"/>
      </w:tblGrid>
      <w:tr w:rsidR="00F035B5" w:rsidRPr="00F035B5" w14:paraId="5553E91E" w14:textId="77777777" w:rsidTr="00F11D54">
        <w:tc>
          <w:tcPr>
            <w:tcW w:w="0" w:type="auto"/>
            <w:vAlign w:val="center"/>
            <w:hideMark/>
          </w:tcPr>
          <w:p w14:paraId="6431436D" w14:textId="77777777" w:rsidR="00F035B5" w:rsidRPr="00F035B5" w:rsidRDefault="00F035B5" w:rsidP="00F035B5">
            <w:r w:rsidRPr="00F035B5">
              <w:t>d)</w:t>
            </w:r>
          </w:p>
        </w:tc>
        <w:tc>
          <w:tcPr>
            <w:tcW w:w="0" w:type="auto"/>
            <w:vAlign w:val="center"/>
            <w:hideMark/>
          </w:tcPr>
          <w:p w14:paraId="50F4AB13" w14:textId="77777777" w:rsidR="00F035B5" w:rsidRPr="00F035B5" w:rsidRDefault="00F035B5" w:rsidP="00F035B5">
            <w:r w:rsidRPr="00F035B5">
              <w:t xml:space="preserve">Sandfilteranlegg: I tilknyting til </w:t>
            </w:r>
            <w:proofErr w:type="spellStart"/>
            <w:r w:rsidRPr="00F035B5">
              <w:t>tøming</w:t>
            </w:r>
            <w:proofErr w:type="spellEnd"/>
            <w:r w:rsidRPr="00F035B5">
              <w:t xml:space="preserve">: i samsvar med føresegn for avfall mv, Renovest </w:t>
            </w:r>
            <w:proofErr w:type="spellStart"/>
            <w:r w:rsidRPr="00F035B5">
              <w:t>IKS</w:t>
            </w:r>
            <w:proofErr w:type="spellEnd"/>
            <w:r w:rsidRPr="00F035B5">
              <w:t>.</w:t>
            </w:r>
          </w:p>
        </w:tc>
      </w:tr>
    </w:tbl>
    <w:p w14:paraId="0F230F59"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424"/>
        <w:gridCol w:w="8648"/>
      </w:tblGrid>
      <w:tr w:rsidR="00F035B5" w:rsidRPr="00F035B5" w14:paraId="7DEC77F0" w14:textId="77777777" w:rsidTr="00F11D54">
        <w:tc>
          <w:tcPr>
            <w:tcW w:w="0" w:type="auto"/>
            <w:vAlign w:val="center"/>
            <w:hideMark/>
          </w:tcPr>
          <w:p w14:paraId="4F108EF1" w14:textId="77777777" w:rsidR="00F035B5" w:rsidRPr="00F035B5" w:rsidRDefault="00F035B5" w:rsidP="00F035B5">
            <w:r w:rsidRPr="00F035B5">
              <w:t>e)</w:t>
            </w:r>
          </w:p>
        </w:tc>
        <w:tc>
          <w:tcPr>
            <w:tcW w:w="0" w:type="auto"/>
            <w:vAlign w:val="center"/>
            <w:hideMark/>
          </w:tcPr>
          <w:p w14:paraId="49488393" w14:textId="77777777" w:rsidR="00F035B5" w:rsidRPr="00F035B5" w:rsidRDefault="00F035B5" w:rsidP="00F035B5">
            <w:r w:rsidRPr="00F035B5">
              <w:t>Prefabrikkert gråvassanlegg: 1 gong kvart 2. år.</w:t>
            </w:r>
          </w:p>
        </w:tc>
      </w:tr>
    </w:tbl>
    <w:p w14:paraId="73C234B6" w14:textId="77777777" w:rsidR="00F035B5" w:rsidRPr="00F035B5" w:rsidRDefault="00F035B5" w:rsidP="00F035B5">
      <w:r w:rsidRPr="00F035B5">
        <w:t>Årsrapport for anlegg med service- og vedlikehaldsavtale skal sendast til kommunen innan 1. februar for det føregåande året. Den skal minimum innehalde følgjande:</w:t>
      </w:r>
    </w:p>
    <w:tbl>
      <w:tblPr>
        <w:tblW w:w="5000" w:type="pct"/>
        <w:tblCellMar>
          <w:top w:w="15" w:type="dxa"/>
          <w:left w:w="15" w:type="dxa"/>
          <w:bottom w:w="15" w:type="dxa"/>
          <w:right w:w="15" w:type="dxa"/>
        </w:tblCellMar>
        <w:tblLook w:val="04A0" w:firstRow="1" w:lastRow="0" w:firstColumn="1" w:lastColumn="0" w:noHBand="0" w:noVBand="1"/>
      </w:tblPr>
      <w:tblGrid>
        <w:gridCol w:w="342"/>
        <w:gridCol w:w="8730"/>
      </w:tblGrid>
      <w:tr w:rsidR="00F035B5" w:rsidRPr="00F035B5" w14:paraId="4B8FC191" w14:textId="77777777" w:rsidTr="00F11D54">
        <w:tc>
          <w:tcPr>
            <w:tcW w:w="0" w:type="auto"/>
            <w:vAlign w:val="center"/>
            <w:hideMark/>
          </w:tcPr>
          <w:p w14:paraId="7C6D1423" w14:textId="77777777" w:rsidR="00F035B5" w:rsidRPr="00F035B5" w:rsidRDefault="00F035B5" w:rsidP="00F035B5">
            <w:r w:rsidRPr="00F035B5">
              <w:t>-</w:t>
            </w:r>
          </w:p>
        </w:tc>
        <w:tc>
          <w:tcPr>
            <w:tcW w:w="0" w:type="auto"/>
            <w:vAlign w:val="center"/>
            <w:hideMark/>
          </w:tcPr>
          <w:p w14:paraId="7FAA83D0" w14:textId="77777777" w:rsidR="00F035B5" w:rsidRPr="00F035B5" w:rsidRDefault="00F035B5" w:rsidP="00F035B5">
            <w:r w:rsidRPr="00F035B5">
              <w:t>Kort beskriving av anlegget.</w:t>
            </w:r>
          </w:p>
        </w:tc>
      </w:tr>
    </w:tbl>
    <w:p w14:paraId="6501AD04"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98"/>
        <w:gridCol w:w="8974"/>
      </w:tblGrid>
      <w:tr w:rsidR="00F035B5" w:rsidRPr="00F035B5" w14:paraId="5BCE0703" w14:textId="77777777" w:rsidTr="00F11D54">
        <w:tc>
          <w:tcPr>
            <w:tcW w:w="0" w:type="auto"/>
            <w:vAlign w:val="center"/>
            <w:hideMark/>
          </w:tcPr>
          <w:p w14:paraId="0C576E63" w14:textId="77777777" w:rsidR="00F035B5" w:rsidRPr="00F035B5" w:rsidRDefault="00F035B5" w:rsidP="00F035B5">
            <w:r w:rsidRPr="00F035B5">
              <w:t>-</w:t>
            </w:r>
          </w:p>
        </w:tc>
        <w:tc>
          <w:tcPr>
            <w:tcW w:w="0" w:type="auto"/>
            <w:vAlign w:val="center"/>
            <w:hideMark/>
          </w:tcPr>
          <w:p w14:paraId="11329014" w14:textId="77777777" w:rsidR="00F035B5" w:rsidRPr="00F035B5" w:rsidRDefault="00F035B5" w:rsidP="00F035B5">
            <w:r w:rsidRPr="00F035B5">
              <w:t>Omtale av driftsforhold førre år med spesiell vekt på eventuelle driftsproblem og handtering av avvik.</w:t>
            </w:r>
          </w:p>
        </w:tc>
      </w:tr>
    </w:tbl>
    <w:p w14:paraId="09EFDD54"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451"/>
        <w:gridCol w:w="8621"/>
      </w:tblGrid>
      <w:tr w:rsidR="00F035B5" w:rsidRPr="00F035B5" w14:paraId="772EF1D8" w14:textId="77777777" w:rsidTr="00F11D54">
        <w:tc>
          <w:tcPr>
            <w:tcW w:w="0" w:type="auto"/>
            <w:vAlign w:val="center"/>
            <w:hideMark/>
          </w:tcPr>
          <w:p w14:paraId="520A8DD2" w14:textId="77777777" w:rsidR="00F035B5" w:rsidRPr="00F035B5" w:rsidRDefault="00F035B5" w:rsidP="00F035B5">
            <w:r w:rsidRPr="00F035B5">
              <w:t>-</w:t>
            </w:r>
          </w:p>
        </w:tc>
        <w:tc>
          <w:tcPr>
            <w:tcW w:w="0" w:type="auto"/>
            <w:vAlign w:val="center"/>
            <w:hideMark/>
          </w:tcPr>
          <w:p w14:paraId="79EF94DE" w14:textId="77777777" w:rsidR="00F035B5" w:rsidRPr="00F035B5" w:rsidRDefault="00F035B5" w:rsidP="00F035B5">
            <w:r w:rsidRPr="00F035B5">
              <w:t>Resultat av analyser.</w:t>
            </w:r>
          </w:p>
        </w:tc>
      </w:tr>
    </w:tbl>
    <w:p w14:paraId="5F00EC92" w14:textId="77777777" w:rsidR="00F035B5" w:rsidRPr="00F035B5" w:rsidRDefault="00F035B5" w:rsidP="00F035B5">
      <w:pPr>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128"/>
        <w:gridCol w:w="8944"/>
      </w:tblGrid>
      <w:tr w:rsidR="00F035B5" w:rsidRPr="00F035B5" w14:paraId="4DEE6248" w14:textId="77777777" w:rsidTr="00F11D54">
        <w:tc>
          <w:tcPr>
            <w:tcW w:w="0" w:type="auto"/>
            <w:vAlign w:val="center"/>
            <w:hideMark/>
          </w:tcPr>
          <w:p w14:paraId="418075AE" w14:textId="77777777" w:rsidR="00F035B5" w:rsidRPr="00F035B5" w:rsidRDefault="00F035B5" w:rsidP="00F035B5">
            <w:r w:rsidRPr="00F035B5">
              <w:t>-</w:t>
            </w:r>
          </w:p>
        </w:tc>
        <w:tc>
          <w:tcPr>
            <w:tcW w:w="0" w:type="auto"/>
            <w:vAlign w:val="center"/>
            <w:hideMark/>
          </w:tcPr>
          <w:p w14:paraId="782F697A" w14:textId="77777777" w:rsidR="00F035B5" w:rsidRPr="00F035B5" w:rsidRDefault="00F035B5" w:rsidP="00F035B5">
            <w:r w:rsidRPr="00F035B5">
              <w:t>Vurderingar av naudsynte utbetringar, med dette utskifting av filtermedium.</w:t>
            </w:r>
          </w:p>
        </w:tc>
      </w:tr>
    </w:tbl>
    <w:p w14:paraId="4D3D52D3" w14:textId="77777777" w:rsidR="00F035B5" w:rsidRPr="00F035B5" w:rsidRDefault="00F035B5" w:rsidP="00F035B5">
      <w:bookmarkStart w:id="6" w:name="§13"/>
      <w:bookmarkStart w:id="7" w:name="PARAGRAF_13"/>
      <w:bookmarkEnd w:id="6"/>
      <w:bookmarkEnd w:id="7"/>
    </w:p>
    <w:p w14:paraId="449F4D5B" w14:textId="77777777" w:rsidR="00F035B5" w:rsidRPr="00F035B5" w:rsidRDefault="00F035B5" w:rsidP="00F035B5">
      <w:r w:rsidRPr="00F035B5">
        <w:t>§ 13.</w:t>
      </w:r>
      <w:r w:rsidRPr="00F035B5">
        <w:rPr>
          <w:i/>
          <w:iCs/>
        </w:rPr>
        <w:t>Prøvetaking</w:t>
      </w:r>
    </w:p>
    <w:p w14:paraId="2E677AB2" w14:textId="77777777" w:rsidR="00F035B5" w:rsidRPr="00F035B5" w:rsidRDefault="00F035B5" w:rsidP="00F035B5">
      <w:r w:rsidRPr="00F035B5">
        <w:t>Prøvetaking, oppbevaring og konservering av avløpsprøver skal utførast i samsvar med dei til ein kvar tid normerte krav.</w:t>
      </w:r>
    </w:p>
    <w:p w14:paraId="52DAC1F3" w14:textId="77777777" w:rsidR="00F035B5" w:rsidRPr="00F035B5" w:rsidRDefault="00F035B5" w:rsidP="00F035B5">
      <w:r w:rsidRPr="00F035B5">
        <w:t xml:space="preserve">Alle prøver av utsleppsvatn skal analyserast av laboratorium som har godkjent fullmakt for dei aktuelle </w:t>
      </w:r>
      <w:proofErr w:type="spellStart"/>
      <w:r w:rsidRPr="00F035B5">
        <w:t>analysene</w:t>
      </w:r>
      <w:proofErr w:type="spellEnd"/>
      <w:r w:rsidRPr="00F035B5">
        <w:t>. Det skal analyserast for parametrar ut frå gjeldande krav i § 6. Analysemetodar nemnt i forureiningsføresegna kapittel 11 skal nyttast.</w:t>
      </w:r>
    </w:p>
    <w:p w14:paraId="2D4F6577" w14:textId="77777777" w:rsidR="00F035B5" w:rsidRPr="00F035B5" w:rsidRDefault="00F035B5" w:rsidP="00F035B5">
      <w:r w:rsidRPr="00F035B5">
        <w:t>All prøvetaking skal utførast av nøytral fagkyndig verksemd og kostast av anleggseigar.</w:t>
      </w:r>
    </w:p>
    <w:p w14:paraId="59F44611" w14:textId="77777777" w:rsidR="00F035B5" w:rsidRPr="00F035B5" w:rsidRDefault="00F035B5" w:rsidP="00F035B5"/>
    <w:p w14:paraId="0B30F117" w14:textId="77777777" w:rsidR="00F035B5" w:rsidRPr="00F035B5" w:rsidRDefault="00F035B5" w:rsidP="00F035B5">
      <w:bookmarkStart w:id="8" w:name="§14"/>
      <w:bookmarkStart w:id="9" w:name="PARAGRAF_14"/>
      <w:bookmarkEnd w:id="8"/>
      <w:bookmarkEnd w:id="9"/>
      <w:r w:rsidRPr="00F035B5">
        <w:t>§ 14.</w:t>
      </w:r>
      <w:r w:rsidRPr="00F035B5">
        <w:rPr>
          <w:i/>
          <w:iCs/>
        </w:rPr>
        <w:t>Tilsyn og kontroll</w:t>
      </w:r>
    </w:p>
    <w:p w14:paraId="6F9DBCF2" w14:textId="77777777" w:rsidR="00F035B5" w:rsidRPr="00F035B5" w:rsidRDefault="00F035B5" w:rsidP="00F035B5">
      <w:r w:rsidRPr="00F035B5">
        <w:t>Kommunen, eller den kommunen gjev mynde til, har rett til å inspisere anlegg til ei kvar tid, og kan ta utløpsprøver for kontroll av at reinsekrav vert halde.</w:t>
      </w:r>
    </w:p>
    <w:p w14:paraId="11667598" w14:textId="77777777" w:rsidR="00F035B5" w:rsidRPr="00F035B5" w:rsidRDefault="00F035B5" w:rsidP="00F035B5">
      <w:pPr>
        <w:rPr>
          <w:bCs/>
        </w:rPr>
      </w:pPr>
    </w:p>
    <w:p w14:paraId="22BA0E6E" w14:textId="77777777" w:rsidR="00F035B5" w:rsidRPr="00F035B5" w:rsidRDefault="00F035B5" w:rsidP="00F035B5"/>
    <w:p w14:paraId="191DE1B6" w14:textId="77777777" w:rsidR="00AB7D26" w:rsidRDefault="00AB7D26"/>
    <w:sectPr w:rsidR="00AB7D26" w:rsidSect="00F035B5">
      <w:footerReference w:type="default" r:id="rId5"/>
      <w:pgSz w:w="11906" w:h="16838"/>
      <w:pgMar w:top="1417" w:right="1417" w:bottom="1417" w:left="1417" w:header="22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4D01" w14:textId="77777777" w:rsidR="00F035B5" w:rsidRDefault="00F035B5" w:rsidP="00600A6F">
    <w:pPr>
      <w:pStyle w:val="Botntekst"/>
      <w:pBdr>
        <w:top w:val="single" w:sz="4" w:space="1" w:color="auto"/>
      </w:pBdr>
      <w:rPr>
        <w:rFonts w:ascii="Palatino Linotype" w:hAnsi="Palatino Linotype"/>
        <w:sz w:val="16"/>
        <w:szCs w:val="16"/>
      </w:rPr>
    </w:pPr>
    <w:proofErr w:type="spellStart"/>
    <w:r>
      <w:rPr>
        <w:rFonts w:ascii="Palatino Linotype" w:hAnsi="Palatino Linotype"/>
        <w:sz w:val="16"/>
        <w:szCs w:val="16"/>
      </w:rPr>
      <w:t>Vinjevegen</w:t>
    </w:r>
    <w:proofErr w:type="spellEnd"/>
    <w:r>
      <w:rPr>
        <w:rFonts w:ascii="Palatino Linotype" w:hAnsi="Palatino Linotype"/>
        <w:sz w:val="16"/>
        <w:szCs w:val="16"/>
      </w:rPr>
      <w:t xml:space="preserve"> 192, 3890 Vinje • Tlf. 3506 2300 • </w:t>
    </w:r>
    <w:proofErr w:type="spellStart"/>
    <w:r>
      <w:rPr>
        <w:rFonts w:ascii="Palatino Linotype" w:hAnsi="Palatino Linotype"/>
        <w:sz w:val="16"/>
        <w:szCs w:val="16"/>
      </w:rPr>
      <w:t>Fax</w:t>
    </w:r>
    <w:proofErr w:type="spellEnd"/>
    <w:r>
      <w:rPr>
        <w:rFonts w:ascii="Palatino Linotype" w:hAnsi="Palatino Linotype"/>
        <w:sz w:val="16"/>
        <w:szCs w:val="16"/>
      </w:rPr>
      <w:t xml:space="preserve"> 3506 2301 • postmottak@vinje.kommune.no • </w:t>
    </w:r>
    <w:hyperlink r:id="rId1" w:history="1">
      <w:r w:rsidRPr="00343CD3">
        <w:rPr>
          <w:rStyle w:val="Hyperkopling"/>
          <w:rFonts w:ascii="Palatino Linotype" w:eastAsiaTheme="majorEastAsia" w:hAnsi="Palatino Linotype"/>
          <w:sz w:val="16"/>
          <w:szCs w:val="16"/>
        </w:rPr>
        <w:t>www.vinje.kommune.no</w:t>
      </w:r>
    </w:hyperlink>
  </w:p>
  <w:p w14:paraId="5D3EFE4C" w14:textId="77777777" w:rsidR="00F035B5" w:rsidRDefault="00F035B5" w:rsidP="00600A6F">
    <w:pPr>
      <w:pStyle w:val="Botntekst"/>
      <w:pBdr>
        <w:top w:val="single" w:sz="4" w:space="1" w:color="auto"/>
      </w:pBdr>
    </w:pPr>
    <w:r>
      <w:rPr>
        <w:rFonts w:ascii="Palatino Linotype" w:hAnsi="Palatino Linotype"/>
        <w:sz w:val="16"/>
        <w:szCs w:val="16"/>
      </w:rPr>
      <w:t xml:space="preserve">• Bankgiro </w:t>
    </w:r>
    <w:bookmarkStart w:id="10" w:name="OVADMBANKGIRO"/>
    <w:r>
      <w:rPr>
        <w:rFonts w:ascii="Palatino Linotype" w:hAnsi="Palatino Linotype"/>
        <w:sz w:val="16"/>
        <w:szCs w:val="16"/>
      </w:rPr>
      <w:t>2717.07.00037</w:t>
    </w:r>
    <w:bookmarkEnd w:id="10"/>
    <w:r>
      <w:rPr>
        <w:rFonts w:ascii="Palatino Linotype" w:hAnsi="Palatino Linotype"/>
        <w:sz w:val="16"/>
        <w:szCs w:val="16"/>
      </w:rPr>
      <w:t xml:space="preserve"> • Organisasjonsnummer 964964610</w:t>
    </w:r>
  </w:p>
  <w:p w14:paraId="54AE88C4" w14:textId="77777777" w:rsidR="00F035B5" w:rsidRPr="00600A6F" w:rsidRDefault="00F035B5" w:rsidP="00600A6F">
    <w:pPr>
      <w:pStyle w:val="Botn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B5"/>
    <w:rsid w:val="002B55C7"/>
    <w:rsid w:val="00715D17"/>
    <w:rsid w:val="00AB7D26"/>
    <w:rsid w:val="00EB7216"/>
    <w:rsid w:val="00F035B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8140"/>
  <w15:chartTrackingRefBased/>
  <w15:docId w15:val="{35476C9E-CBC7-4F48-AD59-1B2B6CEA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ikn"/>
    <w:uiPriority w:val="9"/>
    <w:qFormat/>
    <w:rsid w:val="00F03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ikn"/>
    <w:uiPriority w:val="9"/>
    <w:semiHidden/>
    <w:unhideWhenUsed/>
    <w:qFormat/>
    <w:rsid w:val="00F03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ikn"/>
    <w:uiPriority w:val="9"/>
    <w:semiHidden/>
    <w:unhideWhenUsed/>
    <w:qFormat/>
    <w:rsid w:val="00F035B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ikn"/>
    <w:uiPriority w:val="9"/>
    <w:semiHidden/>
    <w:unhideWhenUsed/>
    <w:qFormat/>
    <w:rsid w:val="00F035B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ikn"/>
    <w:uiPriority w:val="9"/>
    <w:semiHidden/>
    <w:unhideWhenUsed/>
    <w:qFormat/>
    <w:rsid w:val="00F035B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ikn"/>
    <w:uiPriority w:val="9"/>
    <w:semiHidden/>
    <w:unhideWhenUsed/>
    <w:qFormat/>
    <w:rsid w:val="00F035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F035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F035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F035B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F035B5"/>
    <w:rPr>
      <w:rFonts w:asciiTheme="majorHAnsi" w:eastAsiaTheme="majorEastAsia" w:hAnsiTheme="majorHAnsi" w:cstheme="majorBidi"/>
      <w:color w:val="2F5496" w:themeColor="accent1" w:themeShade="BF"/>
      <w:sz w:val="40"/>
      <w:szCs w:val="40"/>
    </w:rPr>
  </w:style>
  <w:style w:type="character" w:customStyle="1" w:styleId="Overskrift2Teikn">
    <w:name w:val="Overskrift 2 Teikn"/>
    <w:basedOn w:val="Standardskriftforavsnitt"/>
    <w:link w:val="Overskrift2"/>
    <w:uiPriority w:val="9"/>
    <w:semiHidden/>
    <w:rsid w:val="00F035B5"/>
    <w:rPr>
      <w:rFonts w:asciiTheme="majorHAnsi" w:eastAsiaTheme="majorEastAsia" w:hAnsiTheme="majorHAnsi" w:cstheme="majorBidi"/>
      <w:color w:val="2F5496" w:themeColor="accent1" w:themeShade="BF"/>
      <w:sz w:val="32"/>
      <w:szCs w:val="32"/>
    </w:rPr>
  </w:style>
  <w:style w:type="character" w:customStyle="1" w:styleId="Overskrift3Teikn">
    <w:name w:val="Overskrift 3 Teikn"/>
    <w:basedOn w:val="Standardskriftforavsnitt"/>
    <w:link w:val="Overskrift3"/>
    <w:uiPriority w:val="9"/>
    <w:semiHidden/>
    <w:rsid w:val="00F035B5"/>
    <w:rPr>
      <w:rFonts w:eastAsiaTheme="majorEastAsia" w:cstheme="majorBidi"/>
      <w:color w:val="2F5496" w:themeColor="accent1" w:themeShade="BF"/>
      <w:sz w:val="28"/>
      <w:szCs w:val="28"/>
    </w:rPr>
  </w:style>
  <w:style w:type="character" w:customStyle="1" w:styleId="Overskrift4Teikn">
    <w:name w:val="Overskrift 4 Teikn"/>
    <w:basedOn w:val="Standardskriftforavsnitt"/>
    <w:link w:val="Overskrift4"/>
    <w:uiPriority w:val="9"/>
    <w:semiHidden/>
    <w:rsid w:val="00F035B5"/>
    <w:rPr>
      <w:rFonts w:eastAsiaTheme="majorEastAsia" w:cstheme="majorBidi"/>
      <w:i/>
      <w:iCs/>
      <w:color w:val="2F5496" w:themeColor="accent1" w:themeShade="BF"/>
    </w:rPr>
  </w:style>
  <w:style w:type="character" w:customStyle="1" w:styleId="Overskrift5Teikn">
    <w:name w:val="Overskrift 5 Teikn"/>
    <w:basedOn w:val="Standardskriftforavsnitt"/>
    <w:link w:val="Overskrift5"/>
    <w:uiPriority w:val="9"/>
    <w:semiHidden/>
    <w:rsid w:val="00F035B5"/>
    <w:rPr>
      <w:rFonts w:eastAsiaTheme="majorEastAsia" w:cstheme="majorBidi"/>
      <w:color w:val="2F5496" w:themeColor="accent1" w:themeShade="BF"/>
    </w:rPr>
  </w:style>
  <w:style w:type="character" w:customStyle="1" w:styleId="Overskrift6Teikn">
    <w:name w:val="Overskrift 6 Teikn"/>
    <w:basedOn w:val="Standardskriftforavsnitt"/>
    <w:link w:val="Overskrift6"/>
    <w:uiPriority w:val="9"/>
    <w:semiHidden/>
    <w:rsid w:val="00F035B5"/>
    <w:rPr>
      <w:rFonts w:eastAsiaTheme="majorEastAsia" w:cstheme="majorBidi"/>
      <w:i/>
      <w:iCs/>
      <w:color w:val="595959" w:themeColor="text1" w:themeTint="A6"/>
    </w:rPr>
  </w:style>
  <w:style w:type="character" w:customStyle="1" w:styleId="Overskrift7Teikn">
    <w:name w:val="Overskrift 7 Teikn"/>
    <w:basedOn w:val="Standardskriftforavsnitt"/>
    <w:link w:val="Overskrift7"/>
    <w:uiPriority w:val="9"/>
    <w:semiHidden/>
    <w:rsid w:val="00F035B5"/>
    <w:rPr>
      <w:rFonts w:eastAsiaTheme="majorEastAsia" w:cstheme="majorBidi"/>
      <w:color w:val="595959" w:themeColor="text1" w:themeTint="A6"/>
    </w:rPr>
  </w:style>
  <w:style w:type="character" w:customStyle="1" w:styleId="Overskrift8Teikn">
    <w:name w:val="Overskrift 8 Teikn"/>
    <w:basedOn w:val="Standardskriftforavsnitt"/>
    <w:link w:val="Overskrift8"/>
    <w:uiPriority w:val="9"/>
    <w:semiHidden/>
    <w:rsid w:val="00F035B5"/>
    <w:rPr>
      <w:rFonts w:eastAsiaTheme="majorEastAsia" w:cstheme="majorBidi"/>
      <w:i/>
      <w:iCs/>
      <w:color w:val="272727" w:themeColor="text1" w:themeTint="D8"/>
    </w:rPr>
  </w:style>
  <w:style w:type="character" w:customStyle="1" w:styleId="Overskrift9Teikn">
    <w:name w:val="Overskrift 9 Teikn"/>
    <w:basedOn w:val="Standardskriftforavsnitt"/>
    <w:link w:val="Overskrift9"/>
    <w:uiPriority w:val="9"/>
    <w:semiHidden/>
    <w:rsid w:val="00F035B5"/>
    <w:rPr>
      <w:rFonts w:eastAsiaTheme="majorEastAsia" w:cstheme="majorBidi"/>
      <w:color w:val="272727" w:themeColor="text1" w:themeTint="D8"/>
    </w:rPr>
  </w:style>
  <w:style w:type="paragraph" w:styleId="Tittel">
    <w:name w:val="Title"/>
    <w:basedOn w:val="Normal"/>
    <w:next w:val="Normal"/>
    <w:link w:val="TittelTeikn"/>
    <w:uiPriority w:val="10"/>
    <w:qFormat/>
    <w:rsid w:val="00F03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F035B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ikn"/>
    <w:uiPriority w:val="11"/>
    <w:qFormat/>
    <w:rsid w:val="00F035B5"/>
    <w:pPr>
      <w:numPr>
        <w:ilvl w:val="1"/>
      </w:numPr>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F035B5"/>
    <w:rPr>
      <w:rFonts w:eastAsiaTheme="majorEastAsia" w:cstheme="majorBidi"/>
      <w:color w:val="595959" w:themeColor="text1" w:themeTint="A6"/>
      <w:spacing w:val="15"/>
      <w:sz w:val="28"/>
      <w:szCs w:val="28"/>
    </w:rPr>
  </w:style>
  <w:style w:type="paragraph" w:styleId="Sitat">
    <w:name w:val="Quote"/>
    <w:basedOn w:val="Normal"/>
    <w:next w:val="Normal"/>
    <w:link w:val="SitatTeikn"/>
    <w:uiPriority w:val="29"/>
    <w:qFormat/>
    <w:rsid w:val="00F035B5"/>
    <w:pPr>
      <w:spacing w:before="160"/>
      <w:jc w:val="center"/>
    </w:pPr>
    <w:rPr>
      <w:i/>
      <w:iCs/>
      <w:color w:val="404040" w:themeColor="text1" w:themeTint="BF"/>
    </w:rPr>
  </w:style>
  <w:style w:type="character" w:customStyle="1" w:styleId="SitatTeikn">
    <w:name w:val="Sitat Teikn"/>
    <w:basedOn w:val="Standardskriftforavsnitt"/>
    <w:link w:val="Sitat"/>
    <w:uiPriority w:val="29"/>
    <w:rsid w:val="00F035B5"/>
    <w:rPr>
      <w:i/>
      <w:iCs/>
      <w:color w:val="404040" w:themeColor="text1" w:themeTint="BF"/>
    </w:rPr>
  </w:style>
  <w:style w:type="paragraph" w:styleId="Listeavsnitt">
    <w:name w:val="List Paragraph"/>
    <w:basedOn w:val="Normal"/>
    <w:uiPriority w:val="34"/>
    <w:qFormat/>
    <w:rsid w:val="00F035B5"/>
    <w:pPr>
      <w:ind w:left="720"/>
      <w:contextualSpacing/>
    </w:pPr>
  </w:style>
  <w:style w:type="character" w:styleId="Sterkutheving">
    <w:name w:val="Intense Emphasis"/>
    <w:basedOn w:val="Standardskriftforavsnitt"/>
    <w:uiPriority w:val="21"/>
    <w:qFormat/>
    <w:rsid w:val="00F035B5"/>
    <w:rPr>
      <w:i/>
      <w:iCs/>
      <w:color w:val="2F5496" w:themeColor="accent1" w:themeShade="BF"/>
    </w:rPr>
  </w:style>
  <w:style w:type="paragraph" w:styleId="Sterktsitat">
    <w:name w:val="Intense Quote"/>
    <w:basedOn w:val="Normal"/>
    <w:next w:val="Normal"/>
    <w:link w:val="SterktsitatTeikn"/>
    <w:uiPriority w:val="30"/>
    <w:qFormat/>
    <w:rsid w:val="00F03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ikn">
    <w:name w:val="Sterkt sitat Teikn"/>
    <w:basedOn w:val="Standardskriftforavsnitt"/>
    <w:link w:val="Sterktsitat"/>
    <w:uiPriority w:val="30"/>
    <w:rsid w:val="00F035B5"/>
    <w:rPr>
      <w:i/>
      <w:iCs/>
      <w:color w:val="2F5496" w:themeColor="accent1" w:themeShade="BF"/>
    </w:rPr>
  </w:style>
  <w:style w:type="character" w:styleId="Sterkreferanse">
    <w:name w:val="Intense Reference"/>
    <w:basedOn w:val="Standardskriftforavsnitt"/>
    <w:uiPriority w:val="32"/>
    <w:qFormat/>
    <w:rsid w:val="00F035B5"/>
    <w:rPr>
      <w:b/>
      <w:bCs/>
      <w:smallCaps/>
      <w:color w:val="2F5496" w:themeColor="accent1" w:themeShade="BF"/>
      <w:spacing w:val="5"/>
    </w:rPr>
  </w:style>
  <w:style w:type="paragraph" w:styleId="Botntekst">
    <w:name w:val="footer"/>
    <w:basedOn w:val="Normal"/>
    <w:link w:val="BotntekstTeikn"/>
    <w:rsid w:val="00F035B5"/>
    <w:pPr>
      <w:tabs>
        <w:tab w:val="center" w:pos="4536"/>
        <w:tab w:val="right" w:pos="9072"/>
      </w:tabs>
      <w:spacing w:after="0" w:line="240" w:lineRule="auto"/>
    </w:pPr>
    <w:rPr>
      <w:rFonts w:ascii="Times New Roman" w:eastAsia="Times New Roman" w:hAnsi="Times New Roman" w:cs="Times New Roman"/>
      <w:sz w:val="24"/>
      <w:szCs w:val="20"/>
      <w:lang w:eastAsia="nb-NO"/>
      <w14:ligatures w14:val="none"/>
    </w:rPr>
  </w:style>
  <w:style w:type="character" w:customStyle="1" w:styleId="BotntekstTeikn">
    <w:name w:val="Botntekst Teikn"/>
    <w:basedOn w:val="Standardskriftforavsnitt"/>
    <w:link w:val="Botntekst"/>
    <w:rsid w:val="00F035B5"/>
    <w:rPr>
      <w:rFonts w:ascii="Times New Roman" w:eastAsia="Times New Roman" w:hAnsi="Times New Roman" w:cs="Times New Roman"/>
      <w:sz w:val="24"/>
      <w:szCs w:val="20"/>
      <w:lang w:eastAsia="nb-NO"/>
      <w14:ligatures w14:val="none"/>
    </w:rPr>
  </w:style>
  <w:style w:type="character" w:styleId="Hyperkopling">
    <w:name w:val="Hyperlink"/>
    <w:basedOn w:val="Standardskriftforavsnitt"/>
    <w:unhideWhenUsed/>
    <w:rsid w:val="00F035B5"/>
    <w:rPr>
      <w:color w:val="0563C1" w:themeColor="hyperlink"/>
      <w:u w:val="single"/>
    </w:rPr>
  </w:style>
  <w:style w:type="character" w:styleId="Ulystomtale">
    <w:name w:val="Unresolved Mention"/>
    <w:basedOn w:val="Standardskriftforavsnitt"/>
    <w:uiPriority w:val="99"/>
    <w:semiHidden/>
    <w:unhideWhenUsed/>
    <w:rsid w:val="00F03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s://lovdata.no/dokument/OV/forskrift/2017-12-14-2215?q=lokal%20forskrift%20vinje%20kommu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vinje.kommu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4002</Characters>
  <Application>Microsoft Office Word</Application>
  <DocSecurity>0</DocSecurity>
  <Lines>33</Lines>
  <Paragraphs>9</Paragraphs>
  <ScaleCrop>false</ScaleCrop>
  <Company>VTDS</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Negarden</dc:creator>
  <cp:keywords/>
  <dc:description/>
  <cp:lastModifiedBy>Kjell Negarden</cp:lastModifiedBy>
  <cp:revision>2</cp:revision>
  <dcterms:created xsi:type="dcterms:W3CDTF">2025-10-23T08:22:00Z</dcterms:created>
  <dcterms:modified xsi:type="dcterms:W3CDTF">2025-10-23T08:22:00Z</dcterms:modified>
</cp:coreProperties>
</file>